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CA" w:rsidRDefault="00C40F1D">
      <w:pPr>
        <w:rPr>
          <w:rFonts w:ascii="仿宋_GB2312" w:eastAsia="仿宋_GB2312" w:hAnsi="宋体" w:cs="宋体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</w:rPr>
        <w:t>附件：</w:t>
      </w:r>
    </w:p>
    <w:p w:rsidR="00C354CA" w:rsidRDefault="00C40F1D">
      <w:pPr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bdr w:val="none" w:sz="0" w:space="0" w:color="auto" w:frame="1"/>
          <w:shd w:val="clear" w:color="auto" w:fill="FFFFFF"/>
        </w:rPr>
        <w:t>201</w:t>
      </w:r>
      <w:r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  <w:bdr w:val="none" w:sz="0" w:space="0" w:color="auto" w:frame="1"/>
          <w:shd w:val="clear" w:color="auto" w:fill="FFFFFF"/>
        </w:rPr>
        <w:t>7</w:t>
      </w: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bdr w:val="none" w:sz="0" w:space="0" w:color="auto" w:frame="1"/>
          <w:shd w:val="clear" w:color="auto" w:fill="FFFFFF"/>
        </w:rPr>
        <w:t>年度东莞市软科学项目验收结果</w:t>
      </w:r>
    </w:p>
    <w:p w:rsidR="00C354CA" w:rsidRDefault="00C354CA">
      <w:pPr>
        <w:spacing w:line="20" w:lineRule="exact"/>
        <w:rPr>
          <w:rFonts w:ascii="仿宋_GB2312" w:eastAsia="仿宋_GB2312" w:hAnsi="宋体" w:cs="宋体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354CA" w:rsidRDefault="00C354CA"/>
    <w:tbl>
      <w:tblPr>
        <w:tblStyle w:val="a5"/>
        <w:tblW w:w="8472" w:type="dxa"/>
        <w:tblLook w:val="04A0"/>
      </w:tblPr>
      <w:tblGrid>
        <w:gridCol w:w="647"/>
        <w:gridCol w:w="3572"/>
        <w:gridCol w:w="2693"/>
        <w:gridCol w:w="1560"/>
      </w:tblGrid>
      <w:tr w:rsidR="00C354CA">
        <w:tc>
          <w:tcPr>
            <w:tcW w:w="647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序号</w:t>
            </w:r>
          </w:p>
        </w:tc>
        <w:tc>
          <w:tcPr>
            <w:tcW w:w="3572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项目名称</w:t>
            </w:r>
          </w:p>
        </w:tc>
        <w:tc>
          <w:tcPr>
            <w:tcW w:w="2693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项目承担单位</w:t>
            </w:r>
          </w:p>
        </w:tc>
        <w:tc>
          <w:tcPr>
            <w:tcW w:w="1560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验收结果</w:t>
            </w:r>
          </w:p>
        </w:tc>
      </w:tr>
      <w:tr w:rsidR="00C354CA">
        <w:trPr>
          <w:trHeight w:val="978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东莞发展创业投资促“双创”现状分析及对策研究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广东财经大学金融学院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C354CA">
        <w:trPr>
          <w:trHeight w:val="896"/>
        </w:trPr>
        <w:tc>
          <w:tcPr>
            <w:tcW w:w="647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科技创新与供给侧结构性改革分析及东莞策略研究</w:t>
            </w:r>
          </w:p>
        </w:tc>
        <w:tc>
          <w:tcPr>
            <w:tcW w:w="2693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东莞理工学院经管学院</w:t>
            </w:r>
          </w:p>
        </w:tc>
        <w:tc>
          <w:tcPr>
            <w:tcW w:w="1560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C354CA">
        <w:tc>
          <w:tcPr>
            <w:tcW w:w="647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3572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东莞市服务型制造发展现状与提升策略研究</w:t>
            </w:r>
          </w:p>
        </w:tc>
        <w:tc>
          <w:tcPr>
            <w:tcW w:w="2693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广东工业大学</w:t>
            </w:r>
          </w:p>
        </w:tc>
        <w:tc>
          <w:tcPr>
            <w:tcW w:w="1560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C354CA">
        <w:tc>
          <w:tcPr>
            <w:tcW w:w="647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3572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东莞市建设运营科技孵化器模式与对策研究</w:t>
            </w:r>
          </w:p>
        </w:tc>
        <w:tc>
          <w:tcPr>
            <w:tcW w:w="2693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东莞市科技企业孵化协会</w:t>
            </w:r>
          </w:p>
        </w:tc>
        <w:tc>
          <w:tcPr>
            <w:tcW w:w="1560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C354CA">
        <w:trPr>
          <w:trHeight w:val="1037"/>
        </w:trPr>
        <w:tc>
          <w:tcPr>
            <w:tcW w:w="647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3572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东莞争当国家科技产业创新中心排头兵策略研究</w:t>
            </w:r>
          </w:p>
        </w:tc>
        <w:tc>
          <w:tcPr>
            <w:tcW w:w="2693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东莞社会建设研究院</w:t>
            </w:r>
          </w:p>
        </w:tc>
        <w:tc>
          <w:tcPr>
            <w:tcW w:w="1560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C354CA">
        <w:trPr>
          <w:trHeight w:val="1409"/>
        </w:trPr>
        <w:tc>
          <w:tcPr>
            <w:tcW w:w="647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3572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莞深港创新资源融合发展研究</w:t>
            </w:r>
          </w:p>
        </w:tc>
        <w:tc>
          <w:tcPr>
            <w:tcW w:w="2693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东莞市中集云创业产业园投资管理有限公司</w:t>
            </w:r>
          </w:p>
        </w:tc>
        <w:tc>
          <w:tcPr>
            <w:tcW w:w="1560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C354CA">
        <w:trPr>
          <w:trHeight w:val="981"/>
        </w:trPr>
        <w:tc>
          <w:tcPr>
            <w:tcW w:w="647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3572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科技创新对东莞产业优化升级影响分析与对策研究</w:t>
            </w:r>
          </w:p>
        </w:tc>
        <w:tc>
          <w:tcPr>
            <w:tcW w:w="2693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广东科技学院创新创业学院</w:t>
            </w:r>
          </w:p>
        </w:tc>
        <w:tc>
          <w:tcPr>
            <w:tcW w:w="1560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C354CA">
        <w:trPr>
          <w:trHeight w:val="989"/>
        </w:trPr>
        <w:tc>
          <w:tcPr>
            <w:tcW w:w="647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3572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以海外知识产权战略提升东莞市外向型企业国际竞争力研究</w:t>
            </w:r>
          </w:p>
        </w:tc>
        <w:tc>
          <w:tcPr>
            <w:tcW w:w="2693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暨南大学</w:t>
            </w:r>
          </w:p>
        </w:tc>
        <w:tc>
          <w:tcPr>
            <w:tcW w:w="1560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C354CA">
        <w:trPr>
          <w:trHeight w:val="1123"/>
        </w:trPr>
        <w:tc>
          <w:tcPr>
            <w:tcW w:w="647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3572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东莞市“自创区”协同发展对策研究</w:t>
            </w:r>
          </w:p>
        </w:tc>
        <w:tc>
          <w:tcPr>
            <w:tcW w:w="2693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东莞理工学院城市学院</w:t>
            </w:r>
          </w:p>
        </w:tc>
        <w:tc>
          <w:tcPr>
            <w:tcW w:w="1560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基本合格</w:t>
            </w:r>
          </w:p>
        </w:tc>
      </w:tr>
      <w:tr w:rsidR="00C354CA">
        <w:trPr>
          <w:trHeight w:val="920"/>
        </w:trPr>
        <w:tc>
          <w:tcPr>
            <w:tcW w:w="647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3572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东莞市促进科技成果转移转化现状分析及对策研究</w:t>
            </w:r>
          </w:p>
        </w:tc>
        <w:tc>
          <w:tcPr>
            <w:tcW w:w="2693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广州华南创新服务研究院</w:t>
            </w:r>
          </w:p>
        </w:tc>
        <w:tc>
          <w:tcPr>
            <w:tcW w:w="1560" w:type="dxa"/>
            <w:vAlign w:val="center"/>
            <w:hideMark/>
          </w:tcPr>
          <w:p w:rsidR="00C354CA" w:rsidRDefault="00C40F1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基本合格</w:t>
            </w:r>
          </w:p>
        </w:tc>
      </w:tr>
    </w:tbl>
    <w:p w:rsidR="00C354CA" w:rsidRDefault="00C354CA"/>
    <w:sectPr w:rsidR="00C354CA" w:rsidSect="00C3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1D" w:rsidRDefault="00C40F1D">
      <w:r>
        <w:separator/>
      </w:r>
    </w:p>
  </w:endnote>
  <w:endnote w:type="continuationSeparator" w:id="1">
    <w:p w:rsidR="00C40F1D" w:rsidRDefault="00C4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1D" w:rsidRDefault="00C40F1D">
      <w:r>
        <w:separator/>
      </w:r>
    </w:p>
  </w:footnote>
  <w:footnote w:type="continuationSeparator" w:id="1">
    <w:p w:rsidR="00C40F1D" w:rsidRDefault="00C40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4CA"/>
    <w:rsid w:val="00C07604"/>
    <w:rsid w:val="00C354CA"/>
    <w:rsid w:val="00C4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4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4CA"/>
    <w:rPr>
      <w:sz w:val="18"/>
      <w:szCs w:val="18"/>
    </w:rPr>
  </w:style>
  <w:style w:type="table" w:styleId="a5">
    <w:name w:val="Table Grid"/>
    <w:basedOn w:val="a1"/>
    <w:uiPriority w:val="59"/>
    <w:rsid w:val="00C354CA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Chinese ORG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cp:lastPrinted>2017-11-13T08:09:00Z</cp:lastPrinted>
  <dcterms:created xsi:type="dcterms:W3CDTF">2017-11-14T02:03:00Z</dcterms:created>
  <dcterms:modified xsi:type="dcterms:W3CDTF">2017-11-14T02:03:00Z</dcterms:modified>
</cp:coreProperties>
</file>