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EF47C">
      <w:pPr>
        <w:pStyle w:val="16"/>
        <w:numPr>
          <w:ilvl w:val="0"/>
          <w:numId w:val="0"/>
        </w:numPr>
        <w:spacing w:line="560" w:lineRule="exact"/>
        <w:rPr>
          <w:rFonts w:hint="default" w:ascii="Times New Roman" w:hAnsi="Times New Roman" w:eastAsia="黑体" w:cs="Times New Roman"/>
          <w:szCs w:val="32"/>
        </w:rPr>
      </w:pPr>
      <w:bookmarkStart w:id="0" w:name="_Toc133488069"/>
      <w:r>
        <w:rPr>
          <w:rFonts w:hint="default" w:ascii="Times New Roman" w:hAnsi="Times New Roman" w:eastAsia="黑体" w:cs="Times New Roman"/>
          <w:szCs w:val="32"/>
        </w:rPr>
        <w:t>材料</w:t>
      </w:r>
      <w:bookmarkEnd w:id="0"/>
      <w:r>
        <w:rPr>
          <w:rFonts w:hint="default" w:ascii="Times New Roman" w:hAnsi="Times New Roman" w:eastAsia="黑体" w:cs="Times New Roman"/>
          <w:szCs w:val="32"/>
        </w:rPr>
        <w:t>5</w:t>
      </w:r>
    </w:p>
    <w:p w14:paraId="0C58E44E">
      <w:pPr>
        <w:pStyle w:val="16"/>
        <w:numPr>
          <w:ilvl w:val="0"/>
          <w:numId w:val="1"/>
        </w:numPr>
        <w:spacing w:line="560" w:lineRule="exact"/>
        <w:ind w:firstLineChars="0"/>
        <w:rPr>
          <w:rFonts w:eastAsia="黑体"/>
          <w:szCs w:val="32"/>
        </w:rPr>
      </w:pPr>
    </w:p>
    <w:p w14:paraId="75F8D61F">
      <w:pPr>
        <w:pStyle w:val="6"/>
        <w:numPr>
          <w:ilvl w:val="0"/>
          <w:numId w:val="1"/>
        </w:numPr>
        <w:spacing w:line="560" w:lineRule="exact"/>
      </w:pPr>
    </w:p>
    <w:p w14:paraId="526F9C03">
      <w:pPr>
        <w:pStyle w:val="16"/>
        <w:numPr>
          <w:ilvl w:val="0"/>
          <w:numId w:val="1"/>
        </w:numPr>
        <w:spacing w:before="100" w:beforeAutospacing="1" w:after="100" w:afterAutospacing="1" w:line="560" w:lineRule="exact"/>
        <w:ind w:firstLineChars="0"/>
        <w:jc w:val="center"/>
        <w:rPr>
          <w:rFonts w:eastAsia="华文中宋"/>
          <w:b/>
          <w:color w:val="000000"/>
          <w:sz w:val="44"/>
          <w:szCs w:val="44"/>
        </w:rPr>
      </w:pPr>
    </w:p>
    <w:p w14:paraId="4FD62D55">
      <w:pPr>
        <w:pStyle w:val="16"/>
        <w:numPr>
          <w:ilvl w:val="0"/>
          <w:numId w:val="1"/>
        </w:numPr>
        <w:spacing w:before="100" w:beforeAutospacing="1" w:after="100" w:afterAutospacing="1" w:line="560" w:lineRule="exact"/>
        <w:ind w:firstLineChars="0"/>
        <w:jc w:val="center"/>
        <w:rPr>
          <w:rFonts w:eastAsia="华文中宋"/>
          <w:b/>
          <w:color w:val="000000"/>
          <w:sz w:val="44"/>
          <w:szCs w:val="44"/>
        </w:rPr>
      </w:pPr>
    </w:p>
    <w:p w14:paraId="51FC4CBB">
      <w:pPr>
        <w:pStyle w:val="16"/>
        <w:numPr>
          <w:ilvl w:val="0"/>
          <w:numId w:val="1"/>
        </w:numPr>
        <w:spacing w:line="560" w:lineRule="exact"/>
        <w:ind w:firstLineChars="0"/>
        <w:jc w:val="center"/>
        <w:rPr>
          <w:rFonts w:eastAsia="方正小标宋简体"/>
          <w:color w:val="000000"/>
          <w:sz w:val="44"/>
          <w:szCs w:val="44"/>
          <w:lang w:val="en-AU"/>
        </w:rPr>
      </w:pPr>
      <w:r>
        <w:rPr>
          <w:rFonts w:hint="eastAsia" w:eastAsia="方正小标宋简体"/>
          <w:color w:val="000000"/>
          <w:sz w:val="44"/>
          <w:szCs w:val="44"/>
          <w:u w:val="single"/>
          <w:lang w:val="en-US" w:eastAsia="zh-CN"/>
        </w:rPr>
        <w:t xml:space="preserve"> 2025 </w:t>
      </w:r>
      <w:r>
        <w:rPr>
          <w:rFonts w:eastAsia="方正小标宋简体"/>
          <w:color w:val="000000"/>
          <w:sz w:val="44"/>
          <w:szCs w:val="44"/>
          <w:lang w:val="en-AU"/>
        </w:rPr>
        <w:t>年东莞市职业技能</w:t>
      </w:r>
      <w:bookmarkStart w:id="33" w:name="_GoBack"/>
      <w:bookmarkEnd w:id="33"/>
      <w:r>
        <w:rPr>
          <w:rFonts w:eastAsia="方正小标宋简体"/>
          <w:color w:val="000000"/>
          <w:sz w:val="44"/>
          <w:szCs w:val="44"/>
          <w:lang w:val="en-AU"/>
        </w:rPr>
        <w:t>大赛</w:t>
      </w:r>
    </w:p>
    <w:p w14:paraId="17C18FAF">
      <w:pPr>
        <w:pStyle w:val="16"/>
        <w:numPr>
          <w:ilvl w:val="0"/>
          <w:numId w:val="1"/>
        </w:numPr>
        <w:spacing w:line="560" w:lineRule="exact"/>
        <w:ind w:firstLineChars="0"/>
        <w:jc w:val="center"/>
        <w:rPr>
          <w:rFonts w:eastAsia="方正小标宋简体"/>
          <w:color w:val="000000"/>
          <w:sz w:val="44"/>
          <w:szCs w:val="44"/>
          <w:lang w:val="en-AU"/>
        </w:rPr>
      </w:pPr>
      <w:r>
        <w:rPr>
          <w:rFonts w:hint="eastAsia" w:eastAsia="方正小标宋简体"/>
          <w:color w:val="000000"/>
          <w:sz w:val="44"/>
          <w:szCs w:val="44"/>
          <w:lang w:val="en-US" w:eastAsia="zh-CN"/>
        </w:rPr>
        <w:t>人工智能训练师</w:t>
      </w:r>
      <w:r>
        <w:rPr>
          <w:rFonts w:eastAsia="方正小标宋简体"/>
          <w:color w:val="000000"/>
          <w:sz w:val="44"/>
          <w:szCs w:val="44"/>
          <w:lang w:val="en-AU"/>
        </w:rPr>
        <w:t>项目技术工作文件</w:t>
      </w:r>
    </w:p>
    <w:p w14:paraId="61B902CE">
      <w:pPr>
        <w:pStyle w:val="16"/>
        <w:widowControl w:val="0"/>
        <w:numPr>
          <w:ilvl w:val="0"/>
          <w:numId w:val="0"/>
        </w:numPr>
        <w:spacing w:line="560" w:lineRule="exact"/>
        <w:jc w:val="center"/>
        <w:rPr>
          <w:lang w:val="en-AU" w:eastAsia="zh-CN"/>
        </w:rPr>
      </w:pPr>
    </w:p>
    <w:p w14:paraId="2E0291E5">
      <w:pPr>
        <w:pStyle w:val="16"/>
        <w:numPr>
          <w:ilvl w:val="0"/>
          <w:numId w:val="1"/>
        </w:numPr>
        <w:spacing w:line="560" w:lineRule="exact"/>
        <w:ind w:firstLineChars="0"/>
        <w:rPr>
          <w:lang w:val="en-AU"/>
        </w:rPr>
      </w:pPr>
    </w:p>
    <w:p w14:paraId="350AD6CF">
      <w:pPr>
        <w:pStyle w:val="16"/>
        <w:numPr>
          <w:ilvl w:val="0"/>
          <w:numId w:val="1"/>
        </w:numPr>
        <w:spacing w:line="560" w:lineRule="exact"/>
        <w:ind w:firstLineChars="0"/>
        <w:rPr>
          <w:lang w:val="en-AU"/>
        </w:rPr>
      </w:pPr>
    </w:p>
    <w:p w14:paraId="34F04832">
      <w:pPr>
        <w:pStyle w:val="16"/>
        <w:numPr>
          <w:ilvl w:val="0"/>
          <w:numId w:val="1"/>
        </w:numPr>
        <w:spacing w:line="560" w:lineRule="exact"/>
        <w:ind w:firstLineChars="0"/>
        <w:rPr>
          <w:lang w:val="en-AU"/>
        </w:rPr>
      </w:pPr>
    </w:p>
    <w:p w14:paraId="594D1C60">
      <w:pPr>
        <w:pStyle w:val="16"/>
        <w:numPr>
          <w:ilvl w:val="0"/>
          <w:numId w:val="1"/>
        </w:numPr>
        <w:spacing w:line="560" w:lineRule="exact"/>
        <w:ind w:firstLineChars="0"/>
        <w:rPr>
          <w:lang w:val="en-AU"/>
        </w:rPr>
      </w:pPr>
    </w:p>
    <w:p w14:paraId="5F7244CF">
      <w:pPr>
        <w:pStyle w:val="16"/>
        <w:numPr>
          <w:ilvl w:val="0"/>
          <w:numId w:val="1"/>
        </w:numPr>
        <w:spacing w:line="560" w:lineRule="exact"/>
        <w:ind w:firstLineChars="0"/>
        <w:rPr>
          <w:lang w:val="en-AU"/>
        </w:rPr>
      </w:pPr>
    </w:p>
    <w:p w14:paraId="3BA322CB">
      <w:pPr>
        <w:pStyle w:val="16"/>
        <w:numPr>
          <w:ilvl w:val="0"/>
          <w:numId w:val="1"/>
        </w:numPr>
        <w:spacing w:line="560" w:lineRule="exact"/>
        <w:ind w:firstLineChars="0"/>
        <w:rPr>
          <w:lang w:val="en-AU"/>
        </w:rPr>
      </w:pPr>
    </w:p>
    <w:p w14:paraId="763D9008">
      <w:pPr>
        <w:pStyle w:val="11"/>
        <w:numPr>
          <w:ilvl w:val="0"/>
          <w:numId w:val="1"/>
        </w:numPr>
        <w:ind w:firstLine="640" w:firstLineChars="0"/>
        <w:rPr>
          <w:rFonts w:ascii="Times New Roman" w:hAnsi="Times New Roman"/>
          <w:lang w:val="en-AU"/>
        </w:rPr>
      </w:pPr>
    </w:p>
    <w:p w14:paraId="7F16405F">
      <w:pPr>
        <w:pStyle w:val="11"/>
        <w:widowControl w:val="0"/>
        <w:numPr>
          <w:ilvl w:val="0"/>
          <w:numId w:val="0"/>
        </w:numPr>
        <w:spacing w:after="0" w:line="560" w:lineRule="exact"/>
        <w:jc w:val="both"/>
        <w:rPr>
          <w:rFonts w:ascii="Times New Roman" w:hAnsi="Times New Roman"/>
          <w:lang w:val="en-AU"/>
        </w:rPr>
      </w:pPr>
    </w:p>
    <w:p w14:paraId="1B3EFA9F">
      <w:pPr>
        <w:pStyle w:val="16"/>
        <w:numPr>
          <w:ilvl w:val="0"/>
          <w:numId w:val="1"/>
        </w:numPr>
        <w:spacing w:line="560" w:lineRule="exact"/>
        <w:ind w:firstLineChars="0"/>
        <w:jc w:val="center"/>
        <w:rPr>
          <w:szCs w:val="32"/>
        </w:rPr>
      </w:pPr>
    </w:p>
    <w:p w14:paraId="63D237C7">
      <w:pPr>
        <w:pStyle w:val="16"/>
        <w:numPr>
          <w:ilvl w:val="0"/>
          <w:numId w:val="1"/>
        </w:numPr>
        <w:spacing w:line="560" w:lineRule="exact"/>
        <w:ind w:firstLineChars="0"/>
        <w:jc w:val="center"/>
        <w:rPr>
          <w:szCs w:val="32"/>
        </w:rPr>
      </w:pPr>
      <w:r>
        <w:rPr>
          <w:rFonts w:hint="eastAsia"/>
          <w:szCs w:val="32"/>
          <w:lang w:val="en-US" w:eastAsia="zh-CN"/>
        </w:rPr>
        <w:t>2025</w:t>
      </w:r>
      <w:r>
        <w:rPr>
          <w:szCs w:val="32"/>
        </w:rPr>
        <w:t>年东莞市职业技能大赛</w:t>
      </w:r>
    </w:p>
    <w:p w14:paraId="47B8AEC1">
      <w:pPr>
        <w:pStyle w:val="16"/>
        <w:numPr>
          <w:ilvl w:val="0"/>
          <w:numId w:val="1"/>
        </w:numPr>
        <w:spacing w:line="560" w:lineRule="exact"/>
        <w:ind w:firstLineChars="0"/>
        <w:jc w:val="center"/>
        <w:rPr>
          <w:szCs w:val="32"/>
        </w:rPr>
      </w:pPr>
      <w:r>
        <w:rPr>
          <w:rFonts w:hint="eastAsia"/>
          <w:szCs w:val="32"/>
          <w:lang w:val="en-US" w:eastAsia="zh-CN"/>
        </w:rPr>
        <w:t>人工智能训练师</w:t>
      </w:r>
      <w:r>
        <w:rPr>
          <w:szCs w:val="32"/>
        </w:rPr>
        <w:t>项目执委会</w:t>
      </w:r>
    </w:p>
    <w:p w14:paraId="0BCD6D96">
      <w:pPr>
        <w:pStyle w:val="16"/>
        <w:numPr>
          <w:ilvl w:val="0"/>
          <w:numId w:val="1"/>
        </w:numPr>
        <w:spacing w:line="560" w:lineRule="exact"/>
        <w:ind w:firstLineChars="0"/>
        <w:jc w:val="center"/>
        <w:rPr>
          <w:rFonts w:eastAsia="仿宋"/>
          <w:szCs w:val="32"/>
          <w:lang w:val="en-AU"/>
        </w:rPr>
      </w:pPr>
      <w:r>
        <w:rPr>
          <w:rFonts w:hint="eastAsia" w:eastAsia="仿宋"/>
          <w:szCs w:val="32"/>
          <w:lang w:val="en-US" w:eastAsia="zh-CN"/>
        </w:rPr>
        <w:t>2025</w:t>
      </w:r>
      <w:r>
        <w:rPr>
          <w:rFonts w:eastAsia="仿宋"/>
          <w:szCs w:val="32"/>
          <w:lang w:val="en-AU"/>
        </w:rPr>
        <w:t>年</w:t>
      </w:r>
      <w:r>
        <w:rPr>
          <w:rFonts w:hint="eastAsia" w:eastAsia="仿宋"/>
          <w:szCs w:val="32"/>
          <w:lang w:val="en-US" w:eastAsia="zh-CN"/>
        </w:rPr>
        <w:t>5</w:t>
      </w:r>
      <w:r>
        <w:rPr>
          <w:rFonts w:eastAsia="仿宋"/>
          <w:szCs w:val="32"/>
          <w:lang w:val="en-AU"/>
        </w:rPr>
        <w:t>月</w:t>
      </w:r>
    </w:p>
    <w:p w14:paraId="27E54E9E">
      <w:pPr>
        <w:pStyle w:val="16"/>
        <w:numPr>
          <w:ilvl w:val="0"/>
          <w:numId w:val="1"/>
        </w:numPr>
        <w:spacing w:line="360" w:lineRule="auto"/>
        <w:ind w:firstLineChars="0"/>
        <w:jc w:val="center"/>
        <w:rPr>
          <w:rFonts w:hint="eastAsia" w:ascii="黑体" w:hAnsi="黑体" w:eastAsia="黑体" w:cs="黑体"/>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bookmarkStart w:id="1" w:name="_Toc27983_WPSOffice_Level1"/>
    </w:p>
    <w:p w14:paraId="610DB348">
      <w:pPr>
        <w:pStyle w:val="16"/>
        <w:numPr>
          <w:ilvl w:val="0"/>
          <w:numId w:val="1"/>
        </w:numPr>
        <w:spacing w:line="360" w:lineRule="auto"/>
        <w:ind w:left="0" w:leftChars="0" w:firstLine="0" w:firstLineChars="0"/>
        <w:jc w:val="center"/>
        <w:rPr>
          <w:rFonts w:hint="eastAsia" w:ascii="黑体" w:hAnsi="黑体" w:eastAsia="黑体" w:cs="黑体"/>
          <w:sz w:val="32"/>
          <w:szCs w:val="32"/>
        </w:rPr>
      </w:pPr>
      <w:r>
        <w:rPr>
          <w:rFonts w:hint="eastAsia" w:ascii="黑体" w:hAnsi="黑体" w:eastAsia="黑体" w:cs="黑体"/>
          <w:b/>
          <w:bCs/>
          <w:sz w:val="32"/>
          <w:szCs w:val="32"/>
        </w:rPr>
        <w:t>目</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录</w:t>
      </w:r>
    </w:p>
    <w:p w14:paraId="0CF82319">
      <w:pPr>
        <w:pStyle w:val="8"/>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TOC \o "1-3" \h \u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_Toc4176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bCs/>
          <w:sz w:val="30"/>
          <w:szCs w:val="30"/>
        </w:rPr>
        <w:t>一、技术描述</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_Toc4176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109E087A">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_Toc837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（一）竞赛项目</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_Toc837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1DC95DB8">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_Toc19848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（二）竞赛标准</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_Toc19848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5EB453DD">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_Toc23495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（三）项目概要</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_Toc23495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51688620">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_Toc9892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（四）基本知识与能力要求</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_Toc9892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4</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25FF1A4C">
      <w:pPr>
        <w:pStyle w:val="8"/>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_Toc28463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bCs/>
          <w:sz w:val="30"/>
          <w:szCs w:val="30"/>
        </w:rPr>
        <w:t>二、竞赛方式与考核内容</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_Toc28463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5</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75BCB0A8">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_Toc15447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val="en-US" w:eastAsia="zh-CN"/>
        </w:rPr>
        <w:t>一</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val="en-US" w:eastAsia="zh-CN"/>
        </w:rPr>
        <w:t>命题方式</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_Toc15447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5</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197ED02A">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_Toc14840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val="en-US" w:eastAsia="zh-CN"/>
        </w:rPr>
        <w:t>二</w:t>
      </w:r>
      <w:r>
        <w:rPr>
          <w:rFonts w:hint="default" w:ascii="Times New Roman" w:hAnsi="Times New Roman" w:eastAsia="仿宋_GB2312" w:cs="Times New Roman"/>
          <w:sz w:val="30"/>
          <w:szCs w:val="30"/>
        </w:rPr>
        <w:t>）考核</w:t>
      </w:r>
      <w:r>
        <w:rPr>
          <w:rFonts w:hint="default" w:ascii="Times New Roman" w:hAnsi="Times New Roman" w:eastAsia="仿宋_GB2312" w:cs="Times New Roman"/>
          <w:sz w:val="30"/>
          <w:szCs w:val="30"/>
          <w:lang w:val="en-US" w:eastAsia="zh-CN"/>
        </w:rPr>
        <w:t>方式及</w:t>
      </w:r>
      <w:r>
        <w:rPr>
          <w:rFonts w:hint="default" w:ascii="Times New Roman" w:hAnsi="Times New Roman" w:eastAsia="仿宋_GB2312" w:cs="Times New Roman"/>
          <w:sz w:val="30"/>
          <w:szCs w:val="30"/>
        </w:rPr>
        <w:t>内容</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_Toc14840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6</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71E387F1">
      <w:pPr>
        <w:pStyle w:val="8"/>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_Toc17787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三、</w:t>
      </w:r>
      <w:r>
        <w:rPr>
          <w:rFonts w:hint="default" w:ascii="Times New Roman" w:hAnsi="Times New Roman" w:eastAsia="仿宋_GB2312" w:cs="Times New Roman"/>
          <w:sz w:val="30"/>
          <w:szCs w:val="30"/>
          <w:lang w:val="en-US" w:eastAsia="zh-CN"/>
        </w:rPr>
        <w:t>决赛</w:t>
      </w:r>
      <w:r>
        <w:rPr>
          <w:rFonts w:hint="default" w:ascii="Times New Roman" w:hAnsi="Times New Roman" w:eastAsia="仿宋_GB2312" w:cs="Times New Roman"/>
          <w:sz w:val="30"/>
          <w:szCs w:val="30"/>
        </w:rPr>
        <w:t>评判标准</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_Toc17787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9</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14566F9D">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_Toc15028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（一）分数权重</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_Toc15028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9</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7F166F50">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_Toc25840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（二）评判方式</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_Toc25840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9</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3B9FC440">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_Toc5362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（三）评判流程</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_Toc5362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10</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696C92F9">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_Toc21369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（四）最终成绩</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_Toc21369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64128435">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_Toc23601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（五）成绩排序</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_Toc23601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3757A58D">
      <w:pPr>
        <w:pStyle w:val="8"/>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_Toc9549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四、竞赛场地、设施设备安排</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_Toc9549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12</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391DA34D">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_Toc20379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（一）赛场规格要求</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_Toc20379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12</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6F7EA547">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_Toc29056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（二）场地布局（暂定）</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_Toc29056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12</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6AB0EAD0">
      <w:pPr>
        <w:pStyle w:val="8"/>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_Toc21590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bCs/>
          <w:sz w:val="30"/>
          <w:szCs w:val="30"/>
        </w:rPr>
        <w:t>五、竞赛规则</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_Toc21590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49D2679D">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_Toc4467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（一）参赛规则</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_Toc4467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7D834A0E">
      <w:pPr>
        <w:pStyle w:val="9"/>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_Toc11187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sz w:val="30"/>
          <w:szCs w:val="30"/>
        </w:rPr>
        <w:t>（二）赛场规则</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_Toc11187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24</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310D064E">
      <w:pPr>
        <w:pStyle w:val="8"/>
        <w:keepNext w:val="0"/>
        <w:keepLines w:val="0"/>
        <w:pageBreakBefore w:val="0"/>
        <w:widowControl w:val="0"/>
        <w:tabs>
          <w:tab w:val="right" w:leader="dot" w:pos="89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AU"/>
        </w:rPr>
        <w:fldChar w:fldCharType="begin"/>
      </w:r>
      <w:r>
        <w:rPr>
          <w:rFonts w:hint="default" w:ascii="Times New Roman" w:hAnsi="Times New Roman" w:eastAsia="仿宋_GB2312" w:cs="Times New Roman"/>
          <w:sz w:val="30"/>
          <w:szCs w:val="30"/>
          <w:lang w:val="en-AU"/>
        </w:rPr>
        <w:instrText xml:space="preserve"> HYPERLINK \l _Toc8415 </w:instrText>
      </w:r>
      <w:r>
        <w:rPr>
          <w:rFonts w:hint="default" w:ascii="Times New Roman" w:hAnsi="Times New Roman" w:eastAsia="仿宋_GB2312" w:cs="Times New Roman"/>
          <w:sz w:val="30"/>
          <w:szCs w:val="30"/>
          <w:lang w:val="en-AU"/>
        </w:rPr>
        <w:fldChar w:fldCharType="separate"/>
      </w:r>
      <w:r>
        <w:rPr>
          <w:rFonts w:hint="default" w:ascii="Times New Roman" w:hAnsi="Times New Roman" w:eastAsia="仿宋_GB2312" w:cs="Times New Roman"/>
          <w:bCs/>
          <w:sz w:val="30"/>
          <w:szCs w:val="30"/>
          <w:lang w:val="en-US" w:eastAsia="zh-CN"/>
        </w:rPr>
        <w:t>六</w:t>
      </w:r>
      <w:r>
        <w:rPr>
          <w:rFonts w:hint="default" w:ascii="Times New Roman" w:hAnsi="Times New Roman" w:eastAsia="仿宋_GB2312" w:cs="Times New Roman"/>
          <w:bCs/>
          <w:sz w:val="30"/>
          <w:szCs w:val="30"/>
          <w:lang w:eastAsia="zh-CN"/>
        </w:rPr>
        <w:t>、申诉与仲裁</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_Toc8415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24</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lang w:val="en-AU"/>
        </w:rPr>
        <w:fldChar w:fldCharType="end"/>
      </w:r>
    </w:p>
    <w:p w14:paraId="6EFF7B9E">
      <w:pPr>
        <w:pStyle w:val="16"/>
        <w:keepNext w:val="0"/>
        <w:keepLines w:val="0"/>
        <w:pageBreakBefore w:val="0"/>
        <w:widowControl/>
        <w:numPr>
          <w:ilvl w:val="0"/>
          <w:numId w:val="1"/>
        </w:numPr>
        <w:kinsoku/>
        <w:wordWrap/>
        <w:overflowPunct/>
        <w:topLinePunct w:val="0"/>
        <w:autoSpaceDE/>
        <w:autoSpaceDN/>
        <w:bidi w:val="0"/>
        <w:adjustRightInd/>
        <w:snapToGrid/>
        <w:spacing w:line="560" w:lineRule="exact"/>
        <w:ind w:firstLineChars="0"/>
        <w:jc w:val="left"/>
        <w:textAlignment w:val="auto"/>
        <w:rPr>
          <w:rFonts w:eastAsia="黑体"/>
          <w:bCs/>
          <w:szCs w:val="32"/>
        </w:rPr>
      </w:pPr>
      <w:r>
        <w:rPr>
          <w:rFonts w:hint="default" w:ascii="Times New Roman" w:hAnsi="Times New Roman" w:eastAsia="仿宋_GB2312" w:cs="Times New Roman"/>
          <w:sz w:val="30"/>
          <w:szCs w:val="30"/>
          <w:lang w:val="en-AU"/>
        </w:rPr>
        <w:fldChar w:fldCharType="end"/>
      </w:r>
      <w:r>
        <w:rPr>
          <w:rFonts w:eastAsia="黑体"/>
          <w:bCs/>
          <w:szCs w:val="32"/>
        </w:rPr>
        <w:br w:type="page"/>
      </w:r>
    </w:p>
    <w:p w14:paraId="0AC51915">
      <w:pPr>
        <w:pStyle w:val="16"/>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outlineLvl w:val="0"/>
        <w:rPr>
          <w:rFonts w:ascii="Times New Roman" w:hAnsi="Times New Roman" w:eastAsia="黑体" w:cs="Times New Roman"/>
          <w:bCs/>
          <w:szCs w:val="32"/>
        </w:rPr>
      </w:pPr>
      <w:bookmarkStart w:id="2" w:name="_Toc4176"/>
      <w:r>
        <w:rPr>
          <w:rFonts w:ascii="Times New Roman" w:hAnsi="Times New Roman" w:eastAsia="黑体" w:cs="Times New Roman"/>
          <w:bCs/>
          <w:szCs w:val="32"/>
        </w:rPr>
        <w:t>一、</w:t>
      </w:r>
      <w:bookmarkEnd w:id="1"/>
      <w:r>
        <w:rPr>
          <w:rFonts w:hint="eastAsia" w:ascii="Times New Roman" w:hAnsi="Times New Roman" w:eastAsia="黑体" w:cs="Times New Roman"/>
          <w:bCs/>
          <w:szCs w:val="32"/>
        </w:rPr>
        <w:t>技术描述</w:t>
      </w:r>
      <w:bookmarkEnd w:id="2"/>
    </w:p>
    <w:p w14:paraId="7346D53C">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楷体_GB2312" w:cs="Times New Roman"/>
          <w:szCs w:val="32"/>
        </w:rPr>
      </w:pPr>
      <w:bookmarkStart w:id="3" w:name="_Toc837"/>
      <w:r>
        <w:rPr>
          <w:rFonts w:ascii="Times New Roman" w:hAnsi="Times New Roman" w:eastAsia="楷体_GB2312" w:cs="Times New Roman"/>
          <w:szCs w:val="32"/>
        </w:rPr>
        <w:t>（一）竞赛项目</w:t>
      </w:r>
      <w:bookmarkEnd w:id="3"/>
    </w:p>
    <w:p w14:paraId="031CF348">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rFonts w:hint="eastAsia"/>
          <w:szCs w:val="32"/>
        </w:rPr>
        <w:t>人工智能训练师</w:t>
      </w:r>
      <w:r>
        <w:rPr>
          <w:rFonts w:hint="eastAsia"/>
          <w:szCs w:val="32"/>
          <w:lang w:val="en-AU"/>
        </w:rPr>
        <w:t>项目</w:t>
      </w:r>
    </w:p>
    <w:p w14:paraId="69E3240C">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楷体_GB2312" w:cs="Times New Roman"/>
          <w:szCs w:val="32"/>
        </w:rPr>
      </w:pPr>
      <w:bookmarkStart w:id="4" w:name="_Toc19848"/>
      <w:r>
        <w:rPr>
          <w:rFonts w:ascii="Times New Roman" w:hAnsi="Times New Roman" w:eastAsia="楷体_GB2312" w:cs="Times New Roman"/>
          <w:szCs w:val="32"/>
        </w:rPr>
        <w:t>（二）竞赛标准</w:t>
      </w:r>
      <w:bookmarkEnd w:id="4"/>
    </w:p>
    <w:p w14:paraId="4FC31548">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szCs w:val="32"/>
        </w:rPr>
        <w:t>参照</w:t>
      </w:r>
      <w:r>
        <w:rPr>
          <w:rFonts w:hint="eastAsia"/>
          <w:szCs w:val="32"/>
        </w:rPr>
        <w:t>《人工智能训练师国家职业技能标准》</w:t>
      </w:r>
      <w:r>
        <w:rPr>
          <w:szCs w:val="32"/>
        </w:rPr>
        <w:t>国家职业资格三级（高级）标准，并结合行业实际情况，适当增加新知识、新技术等相关内容，由</w:t>
      </w:r>
      <w:r>
        <w:rPr>
          <w:rFonts w:hint="eastAsia"/>
          <w:szCs w:val="32"/>
        </w:rPr>
        <w:t>执</w:t>
      </w:r>
      <w:r>
        <w:rPr>
          <w:szCs w:val="32"/>
        </w:rPr>
        <w:t>委会统一组织专家命题。</w:t>
      </w:r>
    </w:p>
    <w:p w14:paraId="6CEF0406">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楷体_GB2312" w:cs="Times New Roman"/>
          <w:szCs w:val="32"/>
        </w:rPr>
      </w:pPr>
      <w:bookmarkStart w:id="5" w:name="_Toc23495"/>
      <w:r>
        <w:rPr>
          <w:rFonts w:ascii="Times New Roman" w:hAnsi="Times New Roman" w:eastAsia="楷体_GB2312" w:cs="Times New Roman"/>
          <w:szCs w:val="32"/>
        </w:rPr>
        <w:t>（三）项目</w:t>
      </w:r>
      <w:r>
        <w:rPr>
          <w:rFonts w:hint="eastAsia" w:ascii="Times New Roman" w:hAnsi="Times New Roman" w:eastAsia="楷体_GB2312" w:cs="Times New Roman"/>
          <w:szCs w:val="32"/>
        </w:rPr>
        <w:t>概要</w:t>
      </w:r>
      <w:bookmarkEnd w:id="5"/>
    </w:p>
    <w:p w14:paraId="345308E8">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当前人工智能技术已广泛应用于智能交通、智慧公路、自动驾驶、智慧零售、工业、医疗、安防、物流等领域，本赛项以国家《新一代人工智能发展规划》为背景，针对国家新职业“人工智能训练师”的岗位定义与典型工作任务，面向东莞市人工智能工程技术、人工智能技术应用、智能科学与技术、电子信息工程、计算机与软件工程等相应专业领域的职业从业人员，体现行业特色，围绕真实工作过程、任务和要求设计竞赛内容，重点考查选手人工智能工程技术能力、规范操作和创新创意水平，检验参赛选手的综合职业能力。</w:t>
      </w:r>
    </w:p>
    <w:p w14:paraId="20CA902A">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cs="Times New Roman"/>
          <w:szCs w:val="32"/>
        </w:rPr>
      </w:pPr>
      <w:r>
        <w:rPr>
          <w:rFonts w:hint="eastAsia" w:cs="Times New Roman"/>
          <w:szCs w:val="32"/>
        </w:rPr>
        <w:t>本赛项为单人赛项目，报名人员须在东莞工作（学习），年龄16周岁以上、尚未达到法定退休年龄，遵守国家有关法律法规，身体健康，并具备以下条件之一的，均可报名参赛：</w:t>
      </w:r>
    </w:p>
    <w:p w14:paraId="4E1D208B">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cs="Times New Roman"/>
          <w:szCs w:val="32"/>
        </w:rPr>
      </w:pPr>
      <w:r>
        <w:rPr>
          <w:rFonts w:hint="eastAsia" w:cs="Times New Roman"/>
          <w:szCs w:val="32"/>
        </w:rPr>
        <w:t>1. 从事</w:t>
      </w:r>
      <w:r>
        <w:rPr>
          <w:rFonts w:hint="eastAsia" w:cs="Times New Roman"/>
          <w:szCs w:val="32"/>
          <w:lang w:val="en-US" w:eastAsia="zh-CN"/>
        </w:rPr>
        <w:t>人工智能</w:t>
      </w:r>
      <w:r>
        <w:rPr>
          <w:rFonts w:hint="eastAsia" w:cs="Times New Roman"/>
          <w:szCs w:val="32"/>
        </w:rPr>
        <w:t>等相关工作</w:t>
      </w:r>
      <w:r>
        <w:rPr>
          <w:rFonts w:hint="eastAsia" w:cs="Times New Roman"/>
          <w:szCs w:val="32"/>
          <w:lang w:val="en-US" w:eastAsia="zh-CN"/>
        </w:rPr>
        <w:t>1</w:t>
      </w:r>
      <w:r>
        <w:rPr>
          <w:rFonts w:hint="eastAsia" w:cs="Times New Roman"/>
          <w:szCs w:val="32"/>
        </w:rPr>
        <w:t>年以上；</w:t>
      </w:r>
    </w:p>
    <w:p w14:paraId="5FA48105">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cs="Times New Roman"/>
          <w:szCs w:val="32"/>
        </w:rPr>
      </w:pPr>
      <w:r>
        <w:rPr>
          <w:rFonts w:hint="eastAsia" w:cs="Times New Roman"/>
          <w:szCs w:val="32"/>
        </w:rPr>
        <w:t>2. 具有高等学校、职业院校、技工院校本专业或相关专业毕业证书；</w:t>
      </w:r>
    </w:p>
    <w:p w14:paraId="6E0DA561">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cs="Times New Roman"/>
          <w:szCs w:val="32"/>
        </w:rPr>
      </w:pPr>
      <w:r>
        <w:rPr>
          <w:rFonts w:hint="eastAsia" w:cs="Times New Roman"/>
          <w:szCs w:val="32"/>
        </w:rPr>
        <w:t>3. 持有参赛项目相关工种国家职业资格证或职业技能等级证；</w:t>
      </w:r>
    </w:p>
    <w:p w14:paraId="75729C48">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cs="Times New Roman"/>
          <w:szCs w:val="32"/>
          <w:lang w:val="en-US" w:eastAsia="zh-CN"/>
        </w:rPr>
      </w:pPr>
      <w:r>
        <w:rPr>
          <w:rFonts w:hint="eastAsia" w:cs="Times New Roman"/>
          <w:szCs w:val="32"/>
          <w:lang w:val="en-US" w:eastAsia="zh-CN"/>
        </w:rPr>
        <w:t>4</w:t>
      </w:r>
      <w:r>
        <w:rPr>
          <w:rFonts w:hint="eastAsia" w:cs="Times New Roman"/>
          <w:szCs w:val="32"/>
        </w:rPr>
        <w:t xml:space="preserve">. </w:t>
      </w:r>
      <w:r>
        <w:rPr>
          <w:rFonts w:hint="eastAsia" w:cs="Times New Roman"/>
          <w:szCs w:val="32"/>
          <w:lang w:val="en-US" w:eastAsia="zh-CN"/>
        </w:rPr>
        <w:t>东莞市内高等学校、职业院校、技工院校二年级及以上相关专业学生（需提交所在院系盖章的在读证明）。</w:t>
      </w:r>
    </w:p>
    <w:p w14:paraId="73F6A0DD">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color w:val="FF0000"/>
        </w:rPr>
      </w:pPr>
      <w:r>
        <w:rPr>
          <w:rFonts w:hint="eastAsia" w:cs="Times New Roman"/>
          <w:szCs w:val="32"/>
        </w:rPr>
        <w:t>获得</w:t>
      </w:r>
      <w:r>
        <w:rPr>
          <w:rFonts w:hint="eastAsia" w:cs="Times New Roman"/>
          <w:szCs w:val="32"/>
          <w:lang w:val="en-US" w:eastAsia="zh-CN"/>
        </w:rPr>
        <w:t>市级以上“</w:t>
      </w:r>
      <w:r>
        <w:rPr>
          <w:rFonts w:hint="eastAsia" w:cs="Times New Roman"/>
          <w:szCs w:val="32"/>
        </w:rPr>
        <w:t>技术能手”</w:t>
      </w:r>
      <w:r>
        <w:rPr>
          <w:rFonts w:hint="eastAsia" w:cs="Times New Roman"/>
          <w:szCs w:val="32"/>
          <w:lang w:eastAsia="zh-CN"/>
        </w:rPr>
        <w:t>“</w:t>
      </w:r>
      <w:r>
        <w:rPr>
          <w:rFonts w:hint="eastAsia" w:cs="Times New Roman"/>
          <w:szCs w:val="32"/>
          <w:lang w:val="en-US" w:eastAsia="zh-CN"/>
        </w:rPr>
        <w:t>五一劳动奖章</w:t>
      </w:r>
      <w:r>
        <w:rPr>
          <w:rFonts w:hint="eastAsia" w:cs="Times New Roman"/>
          <w:szCs w:val="32"/>
          <w:lang w:eastAsia="zh-CN"/>
        </w:rPr>
        <w:t>”“</w:t>
      </w:r>
      <w:r>
        <w:rPr>
          <w:rFonts w:hint="eastAsia" w:cs="Times New Roman"/>
          <w:szCs w:val="32"/>
          <w:lang w:val="en-US" w:eastAsia="zh-CN"/>
        </w:rPr>
        <w:t>职工技术标兵</w:t>
      </w:r>
      <w:r>
        <w:rPr>
          <w:rFonts w:hint="eastAsia" w:cs="Times New Roman"/>
          <w:szCs w:val="32"/>
          <w:lang w:eastAsia="zh-CN"/>
        </w:rPr>
        <w:t>”</w:t>
      </w:r>
      <w:r>
        <w:rPr>
          <w:rFonts w:hint="eastAsia" w:cs="Times New Roman"/>
          <w:szCs w:val="32"/>
        </w:rPr>
        <w:t>等荣誉的，不再以选手身份参加同一职业工种的比赛。</w:t>
      </w:r>
    </w:p>
    <w:p w14:paraId="20C0DA8B">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楷体_GB2312" w:cs="Times New Roman"/>
          <w:szCs w:val="32"/>
        </w:rPr>
      </w:pPr>
      <w:bookmarkStart w:id="6" w:name="_Toc9892"/>
      <w:r>
        <w:rPr>
          <w:rFonts w:ascii="Times New Roman" w:hAnsi="Times New Roman" w:eastAsia="楷体_GB2312" w:cs="Times New Roman"/>
          <w:szCs w:val="32"/>
        </w:rPr>
        <w:t>（四）</w:t>
      </w:r>
      <w:r>
        <w:rPr>
          <w:rFonts w:hint="eastAsia" w:ascii="Times New Roman" w:hAnsi="Times New Roman" w:eastAsia="楷体_GB2312" w:cs="Times New Roman"/>
          <w:szCs w:val="32"/>
        </w:rPr>
        <w:t>基本</w:t>
      </w:r>
      <w:r>
        <w:rPr>
          <w:rFonts w:ascii="Times New Roman" w:hAnsi="Times New Roman" w:eastAsia="楷体_GB2312" w:cs="Times New Roman"/>
          <w:szCs w:val="32"/>
        </w:rPr>
        <w:t>知识与能力要求</w:t>
      </w:r>
      <w:bookmarkEnd w:id="6"/>
    </w:p>
    <w:p w14:paraId="1C473EEC">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bookmarkStart w:id="7" w:name="_Toc27970_WPSOffice_Level1"/>
      <w:r>
        <w:rPr>
          <w:rFonts w:hint="eastAsia"/>
          <w:szCs w:val="32"/>
        </w:rPr>
        <w:t>本赛项对</w:t>
      </w:r>
      <w:r>
        <w:rPr>
          <w:rFonts w:hint="eastAsia" w:cs="Times New Roman"/>
          <w:szCs w:val="32"/>
          <w:lang w:val="en-US" w:eastAsia="zh-CN"/>
        </w:rPr>
        <w:t>选手</w:t>
      </w:r>
      <w:r>
        <w:rPr>
          <w:rFonts w:hint="eastAsia"/>
          <w:szCs w:val="32"/>
        </w:rPr>
        <w:t>理论知识、工作能力的要求以及各项要求的权重比例。例如下表：</w:t>
      </w:r>
    </w:p>
    <w:p w14:paraId="193EDA72">
      <w:pPr>
        <w:pStyle w:val="16"/>
        <w:spacing w:line="360" w:lineRule="auto"/>
        <w:ind w:firstLine="0" w:firstLineChars="0"/>
        <w:jc w:val="center"/>
        <w:rPr>
          <w:rFonts w:hint="eastAsia"/>
          <w:b/>
          <w:bCs/>
          <w:szCs w:val="32"/>
        </w:rPr>
      </w:pPr>
    </w:p>
    <w:p w14:paraId="14B6FB1D">
      <w:pPr>
        <w:pStyle w:val="16"/>
        <w:spacing w:line="360" w:lineRule="auto"/>
        <w:ind w:firstLine="0" w:firstLineChars="0"/>
        <w:jc w:val="center"/>
        <w:rPr>
          <w:rFonts w:hint="eastAsia"/>
          <w:b/>
          <w:bCs/>
          <w:szCs w:val="32"/>
        </w:rPr>
      </w:pPr>
      <w:r>
        <w:rPr>
          <w:rFonts w:hint="eastAsia"/>
          <w:b/>
          <w:bCs/>
          <w:szCs w:val="32"/>
        </w:rPr>
        <w:t>竞赛能力要求表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4852"/>
        <w:gridCol w:w="2152"/>
      </w:tblGrid>
      <w:tr w14:paraId="3305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370" w:type="dxa"/>
            <w:gridSpan w:val="2"/>
            <w:tcBorders>
              <w:top w:val="single" w:color="auto" w:sz="4" w:space="0"/>
              <w:left w:val="single" w:color="auto" w:sz="4" w:space="0"/>
              <w:bottom w:val="single" w:color="auto" w:sz="4" w:space="0"/>
              <w:right w:val="single" w:color="auto" w:sz="4" w:space="0"/>
            </w:tcBorders>
            <w:noWrap w:val="0"/>
            <w:vAlign w:val="center"/>
          </w:tcPr>
          <w:p w14:paraId="294E1DCE">
            <w:pPr>
              <w:pStyle w:val="16"/>
              <w:spacing w:line="360" w:lineRule="auto"/>
              <w:ind w:firstLine="0" w:firstLineChars="0"/>
              <w:jc w:val="center"/>
              <w:rPr>
                <w:rFonts w:hint="eastAsia"/>
                <w:b/>
                <w:bCs/>
                <w:sz w:val="24"/>
              </w:rPr>
            </w:pPr>
            <w:r>
              <w:rPr>
                <w:rFonts w:hint="eastAsia"/>
                <w:b/>
                <w:bCs/>
                <w:sz w:val="24"/>
              </w:rPr>
              <w:t>相关要求</w:t>
            </w:r>
          </w:p>
        </w:tc>
        <w:tc>
          <w:tcPr>
            <w:tcW w:w="2152" w:type="dxa"/>
            <w:tcBorders>
              <w:top w:val="single" w:color="auto" w:sz="4" w:space="0"/>
              <w:left w:val="single" w:color="auto" w:sz="4" w:space="0"/>
              <w:bottom w:val="single" w:color="auto" w:sz="4" w:space="0"/>
              <w:right w:val="single" w:color="auto" w:sz="4" w:space="0"/>
            </w:tcBorders>
            <w:noWrap w:val="0"/>
            <w:vAlign w:val="center"/>
          </w:tcPr>
          <w:p w14:paraId="0B066A77">
            <w:pPr>
              <w:pStyle w:val="16"/>
              <w:spacing w:line="360" w:lineRule="auto"/>
              <w:ind w:firstLine="0" w:firstLineChars="0"/>
              <w:jc w:val="center"/>
              <w:rPr>
                <w:rFonts w:hint="eastAsia"/>
                <w:b/>
                <w:bCs/>
                <w:sz w:val="24"/>
              </w:rPr>
            </w:pPr>
            <w:r>
              <w:rPr>
                <w:rFonts w:hint="eastAsia"/>
                <w:b/>
                <w:bCs/>
                <w:sz w:val="24"/>
              </w:rPr>
              <w:t>权重比例</w:t>
            </w:r>
          </w:p>
        </w:tc>
      </w:tr>
      <w:tr w14:paraId="7939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093CA76D">
            <w:pPr>
              <w:pStyle w:val="16"/>
              <w:spacing w:line="360" w:lineRule="auto"/>
              <w:ind w:firstLine="0" w:firstLineChars="0"/>
              <w:jc w:val="center"/>
              <w:rPr>
                <w:rFonts w:hint="eastAsia"/>
                <w:b/>
                <w:bCs/>
                <w:sz w:val="24"/>
              </w:rPr>
            </w:pPr>
            <w:r>
              <w:rPr>
                <w:rFonts w:hint="eastAsia"/>
                <w:b/>
                <w:bCs/>
                <w:sz w:val="24"/>
              </w:rPr>
              <w:t>1</w:t>
            </w:r>
          </w:p>
        </w:tc>
        <w:tc>
          <w:tcPr>
            <w:tcW w:w="4852" w:type="dxa"/>
            <w:tcBorders>
              <w:top w:val="single" w:color="auto" w:sz="4" w:space="0"/>
              <w:left w:val="single" w:color="auto" w:sz="4" w:space="0"/>
              <w:bottom w:val="single" w:color="auto" w:sz="4" w:space="0"/>
              <w:right w:val="single" w:color="auto" w:sz="4" w:space="0"/>
            </w:tcBorders>
            <w:noWrap w:val="0"/>
            <w:vAlign w:val="center"/>
          </w:tcPr>
          <w:p w14:paraId="596EF876">
            <w:pPr>
              <w:pStyle w:val="16"/>
              <w:spacing w:line="360" w:lineRule="auto"/>
              <w:ind w:firstLine="0" w:firstLineChars="0"/>
              <w:jc w:val="center"/>
              <w:rPr>
                <w:rFonts w:hint="eastAsia"/>
                <w:b/>
                <w:bCs/>
                <w:sz w:val="24"/>
              </w:rPr>
            </w:pPr>
            <w:r>
              <w:rPr>
                <w:rFonts w:hint="eastAsia"/>
                <w:b/>
                <w:bCs/>
                <w:sz w:val="24"/>
              </w:rPr>
              <w:t>数据准备及处理</w:t>
            </w:r>
          </w:p>
        </w:tc>
        <w:tc>
          <w:tcPr>
            <w:tcW w:w="2152" w:type="dxa"/>
            <w:vMerge w:val="restart"/>
            <w:tcBorders>
              <w:top w:val="single" w:color="auto" w:sz="4" w:space="0"/>
              <w:left w:val="single" w:color="auto" w:sz="4" w:space="0"/>
              <w:right w:val="single" w:color="auto" w:sz="4" w:space="0"/>
            </w:tcBorders>
            <w:noWrap w:val="0"/>
            <w:vAlign w:val="center"/>
          </w:tcPr>
          <w:p w14:paraId="20BD16FA">
            <w:pPr>
              <w:pStyle w:val="16"/>
              <w:spacing w:line="360" w:lineRule="auto"/>
              <w:ind w:firstLine="0" w:firstLineChars="0"/>
              <w:jc w:val="center"/>
              <w:rPr>
                <w:b/>
                <w:bCs/>
                <w:sz w:val="24"/>
              </w:rPr>
            </w:pPr>
            <w:r>
              <w:rPr>
                <w:rFonts w:hint="eastAsia"/>
                <w:b/>
                <w:bCs/>
                <w:sz w:val="24"/>
              </w:rPr>
              <w:t>35%</w:t>
            </w:r>
          </w:p>
        </w:tc>
      </w:tr>
      <w:tr w14:paraId="3C3B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69A91B62">
            <w:pPr>
              <w:pStyle w:val="16"/>
              <w:spacing w:line="360" w:lineRule="auto"/>
              <w:ind w:firstLine="0" w:firstLineChars="0"/>
              <w:jc w:val="center"/>
              <w:rPr>
                <w:rFonts w:hint="eastAsia"/>
                <w:sz w:val="24"/>
              </w:rPr>
            </w:pPr>
          </w:p>
        </w:tc>
        <w:tc>
          <w:tcPr>
            <w:tcW w:w="4852" w:type="dxa"/>
            <w:tcBorders>
              <w:top w:val="single" w:color="auto" w:sz="4" w:space="0"/>
              <w:left w:val="single" w:color="auto" w:sz="4" w:space="0"/>
              <w:bottom w:val="single" w:color="auto" w:sz="4" w:space="0"/>
              <w:right w:val="single" w:color="auto" w:sz="4" w:space="0"/>
            </w:tcBorders>
            <w:noWrap w:val="0"/>
            <w:vAlign w:val="center"/>
          </w:tcPr>
          <w:p w14:paraId="0EA1820B">
            <w:pPr>
              <w:pStyle w:val="16"/>
              <w:spacing w:line="360" w:lineRule="auto"/>
              <w:ind w:firstLine="0" w:firstLineChars="0"/>
              <w:jc w:val="left"/>
              <w:rPr>
                <w:rFonts w:hint="eastAsia"/>
                <w:sz w:val="24"/>
              </w:rPr>
            </w:pPr>
            <w:r>
              <w:rPr>
                <w:rFonts w:hint="eastAsia"/>
                <w:sz w:val="24"/>
              </w:rPr>
              <w:t>●数据采集原理、安全法规及义务</w:t>
            </w:r>
          </w:p>
          <w:p w14:paraId="414D3265">
            <w:pPr>
              <w:pStyle w:val="16"/>
              <w:spacing w:line="360" w:lineRule="auto"/>
              <w:ind w:firstLine="0" w:firstLineChars="0"/>
              <w:jc w:val="left"/>
              <w:rPr>
                <w:rFonts w:hint="eastAsia"/>
                <w:sz w:val="24"/>
              </w:rPr>
            </w:pPr>
            <w:r>
              <w:rPr>
                <w:rFonts w:hint="eastAsia"/>
                <w:sz w:val="24"/>
              </w:rPr>
              <w:t>●数据清洗安全法则、数据安全的原则</w:t>
            </w:r>
          </w:p>
          <w:p w14:paraId="7A867BE8">
            <w:pPr>
              <w:pStyle w:val="16"/>
              <w:spacing w:line="360" w:lineRule="auto"/>
              <w:ind w:firstLine="0" w:firstLineChars="0"/>
              <w:jc w:val="left"/>
              <w:rPr>
                <w:rFonts w:hint="eastAsia"/>
                <w:sz w:val="24"/>
              </w:rPr>
            </w:pPr>
            <w:r>
              <w:rPr>
                <w:rFonts w:hint="eastAsia"/>
                <w:sz w:val="24"/>
              </w:rPr>
              <w:t>●数据采集工具与设备基础知识</w:t>
            </w:r>
          </w:p>
          <w:p w14:paraId="2FED2406">
            <w:pPr>
              <w:pStyle w:val="16"/>
              <w:spacing w:line="360" w:lineRule="auto"/>
              <w:ind w:firstLine="0" w:firstLineChars="0"/>
              <w:jc w:val="left"/>
              <w:rPr>
                <w:rFonts w:hint="eastAsia"/>
                <w:sz w:val="24"/>
              </w:rPr>
            </w:pPr>
            <w:r>
              <w:rPr>
                <w:rFonts w:hint="eastAsia"/>
                <w:sz w:val="24"/>
              </w:rPr>
              <w:t>●数据标注工程基础</w:t>
            </w:r>
          </w:p>
          <w:p w14:paraId="425F117B">
            <w:pPr>
              <w:pStyle w:val="16"/>
              <w:spacing w:line="360" w:lineRule="auto"/>
              <w:ind w:firstLine="0" w:firstLineChars="0"/>
              <w:jc w:val="left"/>
              <w:rPr>
                <w:rFonts w:hint="eastAsia"/>
                <w:sz w:val="24"/>
              </w:rPr>
            </w:pPr>
            <w:r>
              <w:rPr>
                <w:rFonts w:hint="eastAsia"/>
                <w:sz w:val="24"/>
              </w:rPr>
              <w:t>●图片数据清洗</w:t>
            </w:r>
          </w:p>
        </w:tc>
        <w:tc>
          <w:tcPr>
            <w:tcW w:w="2152" w:type="dxa"/>
            <w:vMerge w:val="continue"/>
            <w:tcBorders>
              <w:left w:val="single" w:color="auto" w:sz="4" w:space="0"/>
              <w:bottom w:val="single" w:color="auto" w:sz="4" w:space="0"/>
              <w:right w:val="single" w:color="auto" w:sz="4" w:space="0"/>
            </w:tcBorders>
            <w:noWrap w:val="0"/>
            <w:vAlign w:val="center"/>
          </w:tcPr>
          <w:p w14:paraId="58C5828E">
            <w:pPr>
              <w:pStyle w:val="16"/>
              <w:spacing w:line="360" w:lineRule="auto"/>
              <w:ind w:firstLine="0" w:firstLineChars="0"/>
              <w:jc w:val="center"/>
              <w:rPr>
                <w:rFonts w:hint="eastAsia"/>
                <w:b/>
                <w:bCs/>
                <w:sz w:val="24"/>
              </w:rPr>
            </w:pPr>
          </w:p>
        </w:tc>
      </w:tr>
      <w:tr w14:paraId="4562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77B37240">
            <w:pPr>
              <w:pStyle w:val="16"/>
              <w:spacing w:line="360" w:lineRule="auto"/>
              <w:ind w:firstLine="0" w:firstLineChars="0"/>
              <w:jc w:val="center"/>
              <w:rPr>
                <w:rFonts w:hint="eastAsia"/>
                <w:b/>
                <w:bCs/>
                <w:sz w:val="24"/>
              </w:rPr>
            </w:pPr>
            <w:r>
              <w:rPr>
                <w:rFonts w:hint="eastAsia"/>
                <w:b/>
                <w:bCs/>
                <w:sz w:val="24"/>
              </w:rPr>
              <w:t>2</w:t>
            </w:r>
          </w:p>
        </w:tc>
        <w:tc>
          <w:tcPr>
            <w:tcW w:w="4852" w:type="dxa"/>
            <w:tcBorders>
              <w:top w:val="single" w:color="auto" w:sz="4" w:space="0"/>
              <w:left w:val="single" w:color="auto" w:sz="4" w:space="0"/>
              <w:bottom w:val="single" w:color="auto" w:sz="4" w:space="0"/>
              <w:right w:val="single" w:color="auto" w:sz="4" w:space="0"/>
            </w:tcBorders>
            <w:noWrap w:val="0"/>
            <w:vAlign w:val="center"/>
          </w:tcPr>
          <w:p w14:paraId="37A5F206">
            <w:pPr>
              <w:pStyle w:val="16"/>
              <w:spacing w:line="360" w:lineRule="auto"/>
              <w:ind w:firstLine="0" w:firstLineChars="0"/>
              <w:jc w:val="center"/>
              <w:rPr>
                <w:rFonts w:hint="eastAsia"/>
                <w:b/>
                <w:bCs/>
                <w:sz w:val="24"/>
              </w:rPr>
            </w:pPr>
            <w:r>
              <w:rPr>
                <w:rFonts w:hint="eastAsia"/>
                <w:b/>
                <w:bCs/>
                <w:sz w:val="24"/>
              </w:rPr>
              <w:t>模型选型能力</w:t>
            </w:r>
          </w:p>
        </w:tc>
        <w:tc>
          <w:tcPr>
            <w:tcW w:w="2152" w:type="dxa"/>
            <w:vMerge w:val="restart"/>
            <w:tcBorders>
              <w:top w:val="single" w:color="auto" w:sz="4" w:space="0"/>
              <w:left w:val="single" w:color="auto" w:sz="4" w:space="0"/>
              <w:right w:val="single" w:color="auto" w:sz="4" w:space="0"/>
            </w:tcBorders>
            <w:noWrap w:val="0"/>
            <w:vAlign w:val="center"/>
          </w:tcPr>
          <w:p w14:paraId="3CEA1955">
            <w:pPr>
              <w:pStyle w:val="16"/>
              <w:spacing w:line="360" w:lineRule="auto"/>
              <w:ind w:firstLine="0" w:firstLineChars="0"/>
              <w:jc w:val="center"/>
              <w:rPr>
                <w:b/>
                <w:bCs/>
                <w:sz w:val="24"/>
              </w:rPr>
            </w:pPr>
            <w:r>
              <w:rPr>
                <w:rFonts w:hint="eastAsia"/>
                <w:b/>
                <w:bCs/>
                <w:sz w:val="24"/>
              </w:rPr>
              <w:t>5%</w:t>
            </w:r>
          </w:p>
        </w:tc>
      </w:tr>
      <w:tr w14:paraId="0844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388A5B64">
            <w:pPr>
              <w:pStyle w:val="16"/>
              <w:spacing w:line="360" w:lineRule="auto"/>
              <w:ind w:firstLine="0" w:firstLineChars="0"/>
              <w:jc w:val="center"/>
              <w:rPr>
                <w:rFonts w:hint="eastAsia"/>
                <w:sz w:val="24"/>
              </w:rPr>
            </w:pPr>
          </w:p>
        </w:tc>
        <w:tc>
          <w:tcPr>
            <w:tcW w:w="4852" w:type="dxa"/>
            <w:tcBorders>
              <w:top w:val="single" w:color="auto" w:sz="4" w:space="0"/>
              <w:left w:val="single" w:color="auto" w:sz="4" w:space="0"/>
              <w:bottom w:val="single" w:color="auto" w:sz="4" w:space="0"/>
              <w:right w:val="single" w:color="auto" w:sz="4" w:space="0"/>
            </w:tcBorders>
            <w:noWrap w:val="0"/>
            <w:vAlign w:val="center"/>
          </w:tcPr>
          <w:p w14:paraId="20312B4C">
            <w:pPr>
              <w:pStyle w:val="16"/>
              <w:spacing w:line="360" w:lineRule="auto"/>
              <w:ind w:firstLine="0" w:firstLineChars="0"/>
              <w:jc w:val="left"/>
              <w:rPr>
                <w:rFonts w:hint="eastAsia"/>
                <w:sz w:val="24"/>
              </w:rPr>
            </w:pPr>
            <w:r>
              <w:rPr>
                <w:rFonts w:hint="eastAsia"/>
                <w:sz w:val="24"/>
              </w:rPr>
              <w:t>●根据特定任务选择合适的机器学习算法和模型</w:t>
            </w:r>
          </w:p>
        </w:tc>
        <w:tc>
          <w:tcPr>
            <w:tcW w:w="2152" w:type="dxa"/>
            <w:vMerge w:val="continue"/>
            <w:tcBorders>
              <w:left w:val="single" w:color="auto" w:sz="4" w:space="0"/>
              <w:bottom w:val="single" w:color="auto" w:sz="4" w:space="0"/>
              <w:right w:val="single" w:color="auto" w:sz="4" w:space="0"/>
            </w:tcBorders>
            <w:noWrap w:val="0"/>
            <w:vAlign w:val="center"/>
          </w:tcPr>
          <w:p w14:paraId="34FEC4BA">
            <w:pPr>
              <w:pStyle w:val="16"/>
              <w:spacing w:line="360" w:lineRule="auto"/>
              <w:ind w:firstLine="0" w:firstLineChars="0"/>
              <w:jc w:val="center"/>
              <w:rPr>
                <w:rFonts w:hint="eastAsia"/>
                <w:b/>
                <w:bCs/>
                <w:sz w:val="24"/>
              </w:rPr>
            </w:pPr>
          </w:p>
        </w:tc>
      </w:tr>
      <w:tr w14:paraId="0BF5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7E196B02">
            <w:pPr>
              <w:pStyle w:val="16"/>
              <w:spacing w:line="360" w:lineRule="auto"/>
              <w:ind w:firstLine="0" w:firstLineChars="0"/>
              <w:jc w:val="center"/>
              <w:rPr>
                <w:rFonts w:hint="eastAsia"/>
                <w:b/>
                <w:bCs/>
                <w:sz w:val="24"/>
              </w:rPr>
            </w:pPr>
            <w:r>
              <w:rPr>
                <w:rFonts w:hint="eastAsia"/>
                <w:b/>
                <w:bCs/>
                <w:sz w:val="24"/>
              </w:rPr>
              <w:t>3</w:t>
            </w:r>
          </w:p>
        </w:tc>
        <w:tc>
          <w:tcPr>
            <w:tcW w:w="4852" w:type="dxa"/>
            <w:tcBorders>
              <w:top w:val="single" w:color="auto" w:sz="4" w:space="0"/>
              <w:left w:val="single" w:color="auto" w:sz="4" w:space="0"/>
              <w:bottom w:val="single" w:color="auto" w:sz="4" w:space="0"/>
              <w:right w:val="single" w:color="auto" w:sz="4" w:space="0"/>
            </w:tcBorders>
            <w:noWrap w:val="0"/>
            <w:vAlign w:val="center"/>
          </w:tcPr>
          <w:p w14:paraId="407DABF7">
            <w:pPr>
              <w:pStyle w:val="16"/>
              <w:spacing w:line="360" w:lineRule="auto"/>
              <w:ind w:firstLine="0" w:firstLineChars="0"/>
              <w:jc w:val="center"/>
              <w:rPr>
                <w:rFonts w:hint="eastAsia"/>
                <w:b/>
                <w:bCs/>
                <w:sz w:val="24"/>
              </w:rPr>
            </w:pPr>
            <w:r>
              <w:rPr>
                <w:rFonts w:hint="eastAsia"/>
                <w:b/>
                <w:bCs/>
                <w:sz w:val="24"/>
              </w:rPr>
              <w:t>模型调参</w:t>
            </w:r>
          </w:p>
        </w:tc>
        <w:tc>
          <w:tcPr>
            <w:tcW w:w="2152" w:type="dxa"/>
            <w:vMerge w:val="restart"/>
            <w:tcBorders>
              <w:top w:val="single" w:color="auto" w:sz="4" w:space="0"/>
              <w:left w:val="single" w:color="auto" w:sz="4" w:space="0"/>
              <w:right w:val="single" w:color="auto" w:sz="4" w:space="0"/>
            </w:tcBorders>
            <w:noWrap w:val="0"/>
            <w:vAlign w:val="center"/>
          </w:tcPr>
          <w:p w14:paraId="0F9918D6">
            <w:pPr>
              <w:pStyle w:val="16"/>
              <w:spacing w:line="360" w:lineRule="auto"/>
              <w:ind w:firstLine="0" w:firstLineChars="0"/>
              <w:jc w:val="center"/>
              <w:rPr>
                <w:b/>
                <w:bCs/>
                <w:sz w:val="24"/>
              </w:rPr>
            </w:pPr>
            <w:r>
              <w:rPr>
                <w:rFonts w:hint="eastAsia"/>
                <w:b/>
                <w:bCs/>
                <w:sz w:val="24"/>
              </w:rPr>
              <w:t>5%</w:t>
            </w:r>
          </w:p>
        </w:tc>
      </w:tr>
      <w:tr w14:paraId="79B8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5124CF53">
            <w:pPr>
              <w:pStyle w:val="16"/>
              <w:spacing w:line="360" w:lineRule="auto"/>
              <w:ind w:firstLine="0" w:firstLineChars="0"/>
              <w:jc w:val="center"/>
              <w:rPr>
                <w:rFonts w:hint="eastAsia"/>
                <w:sz w:val="24"/>
              </w:rPr>
            </w:pPr>
          </w:p>
        </w:tc>
        <w:tc>
          <w:tcPr>
            <w:tcW w:w="4852" w:type="dxa"/>
            <w:tcBorders>
              <w:top w:val="single" w:color="auto" w:sz="4" w:space="0"/>
              <w:left w:val="single" w:color="auto" w:sz="4" w:space="0"/>
              <w:bottom w:val="single" w:color="auto" w:sz="4" w:space="0"/>
              <w:right w:val="single" w:color="auto" w:sz="4" w:space="0"/>
            </w:tcBorders>
            <w:noWrap w:val="0"/>
            <w:vAlign w:val="center"/>
          </w:tcPr>
          <w:p w14:paraId="7356C18F">
            <w:pPr>
              <w:pStyle w:val="16"/>
              <w:spacing w:line="360" w:lineRule="auto"/>
              <w:ind w:firstLine="0" w:firstLineChars="0"/>
              <w:jc w:val="left"/>
              <w:rPr>
                <w:rFonts w:hint="eastAsia"/>
                <w:sz w:val="24"/>
              </w:rPr>
            </w:pPr>
            <w:r>
              <w:rPr>
                <w:rFonts w:hint="eastAsia"/>
                <w:sz w:val="24"/>
              </w:rPr>
              <w:t>●熟练数据预处理、样本评估、算法参数调优的方法</w:t>
            </w:r>
          </w:p>
        </w:tc>
        <w:tc>
          <w:tcPr>
            <w:tcW w:w="2152" w:type="dxa"/>
            <w:vMerge w:val="continue"/>
            <w:tcBorders>
              <w:left w:val="single" w:color="auto" w:sz="4" w:space="0"/>
              <w:bottom w:val="single" w:color="auto" w:sz="4" w:space="0"/>
              <w:right w:val="single" w:color="auto" w:sz="4" w:space="0"/>
            </w:tcBorders>
            <w:noWrap w:val="0"/>
            <w:vAlign w:val="center"/>
          </w:tcPr>
          <w:p w14:paraId="4D2F516E">
            <w:pPr>
              <w:pStyle w:val="16"/>
              <w:spacing w:line="360" w:lineRule="auto"/>
              <w:ind w:firstLine="0" w:firstLineChars="0"/>
              <w:jc w:val="center"/>
              <w:rPr>
                <w:rFonts w:hint="eastAsia"/>
                <w:b/>
                <w:bCs/>
                <w:sz w:val="24"/>
              </w:rPr>
            </w:pPr>
          </w:p>
        </w:tc>
      </w:tr>
      <w:tr w14:paraId="6B5A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1B97D6E6">
            <w:pPr>
              <w:pStyle w:val="16"/>
              <w:spacing w:line="360" w:lineRule="auto"/>
              <w:ind w:firstLine="0" w:firstLineChars="0"/>
              <w:jc w:val="center"/>
              <w:rPr>
                <w:rFonts w:hint="eastAsia"/>
                <w:b/>
                <w:bCs/>
                <w:sz w:val="24"/>
              </w:rPr>
            </w:pPr>
            <w:r>
              <w:rPr>
                <w:rFonts w:hint="eastAsia"/>
                <w:b/>
                <w:bCs/>
                <w:sz w:val="24"/>
              </w:rPr>
              <w:t>4</w:t>
            </w:r>
          </w:p>
        </w:tc>
        <w:tc>
          <w:tcPr>
            <w:tcW w:w="4852" w:type="dxa"/>
            <w:tcBorders>
              <w:top w:val="single" w:color="auto" w:sz="4" w:space="0"/>
              <w:left w:val="single" w:color="auto" w:sz="4" w:space="0"/>
              <w:bottom w:val="single" w:color="auto" w:sz="4" w:space="0"/>
              <w:right w:val="single" w:color="auto" w:sz="4" w:space="0"/>
            </w:tcBorders>
            <w:noWrap w:val="0"/>
            <w:vAlign w:val="center"/>
          </w:tcPr>
          <w:p w14:paraId="36C2CD9B">
            <w:pPr>
              <w:pStyle w:val="16"/>
              <w:spacing w:line="360" w:lineRule="auto"/>
              <w:ind w:firstLine="0" w:firstLineChars="0"/>
              <w:jc w:val="center"/>
              <w:rPr>
                <w:rFonts w:hint="eastAsia"/>
                <w:b/>
                <w:bCs/>
                <w:sz w:val="24"/>
              </w:rPr>
            </w:pPr>
            <w:r>
              <w:rPr>
                <w:rFonts w:hint="eastAsia"/>
                <w:b/>
                <w:bCs/>
                <w:sz w:val="24"/>
              </w:rPr>
              <w:t>模型训练</w:t>
            </w:r>
          </w:p>
        </w:tc>
        <w:tc>
          <w:tcPr>
            <w:tcW w:w="2152" w:type="dxa"/>
            <w:vMerge w:val="restart"/>
            <w:tcBorders>
              <w:top w:val="single" w:color="auto" w:sz="4" w:space="0"/>
              <w:left w:val="single" w:color="auto" w:sz="4" w:space="0"/>
              <w:right w:val="single" w:color="auto" w:sz="4" w:space="0"/>
            </w:tcBorders>
            <w:noWrap w:val="0"/>
            <w:vAlign w:val="center"/>
          </w:tcPr>
          <w:p w14:paraId="1674E590">
            <w:pPr>
              <w:pStyle w:val="16"/>
              <w:spacing w:line="360" w:lineRule="auto"/>
              <w:ind w:firstLine="0" w:firstLineChars="0"/>
              <w:jc w:val="center"/>
              <w:rPr>
                <w:b/>
                <w:bCs/>
                <w:sz w:val="24"/>
              </w:rPr>
            </w:pPr>
            <w:r>
              <w:rPr>
                <w:rFonts w:hint="eastAsia"/>
                <w:b/>
                <w:bCs/>
                <w:sz w:val="24"/>
              </w:rPr>
              <w:t>10%</w:t>
            </w:r>
          </w:p>
        </w:tc>
      </w:tr>
      <w:tr w14:paraId="7A9D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3D6A7FB6">
            <w:pPr>
              <w:pStyle w:val="16"/>
              <w:spacing w:line="360" w:lineRule="auto"/>
              <w:ind w:firstLine="0" w:firstLineChars="0"/>
              <w:jc w:val="center"/>
              <w:rPr>
                <w:rFonts w:hint="eastAsia"/>
                <w:sz w:val="24"/>
              </w:rPr>
            </w:pPr>
          </w:p>
        </w:tc>
        <w:tc>
          <w:tcPr>
            <w:tcW w:w="4852" w:type="dxa"/>
            <w:tcBorders>
              <w:top w:val="single" w:color="auto" w:sz="4" w:space="0"/>
              <w:left w:val="single" w:color="auto" w:sz="4" w:space="0"/>
              <w:bottom w:val="single" w:color="auto" w:sz="4" w:space="0"/>
              <w:right w:val="single" w:color="auto" w:sz="4" w:space="0"/>
            </w:tcBorders>
            <w:noWrap w:val="0"/>
            <w:vAlign w:val="center"/>
          </w:tcPr>
          <w:p w14:paraId="158AB9C7">
            <w:pPr>
              <w:pStyle w:val="16"/>
              <w:spacing w:line="360" w:lineRule="auto"/>
              <w:ind w:firstLine="0" w:firstLineChars="0"/>
              <w:jc w:val="left"/>
              <w:rPr>
                <w:rFonts w:hint="eastAsia"/>
                <w:sz w:val="24"/>
              </w:rPr>
            </w:pPr>
            <w:r>
              <w:rPr>
                <w:rFonts w:hint="eastAsia"/>
                <w:sz w:val="24"/>
              </w:rPr>
              <w:t>●掌握专业领域特征提取基础理论及方法</w:t>
            </w:r>
          </w:p>
          <w:p w14:paraId="5088B600">
            <w:pPr>
              <w:pStyle w:val="16"/>
              <w:spacing w:line="360" w:lineRule="auto"/>
              <w:ind w:firstLine="0" w:firstLineChars="0"/>
              <w:jc w:val="left"/>
              <w:rPr>
                <w:rFonts w:hint="eastAsia"/>
                <w:sz w:val="24"/>
              </w:rPr>
            </w:pPr>
            <w:r>
              <w:rPr>
                <w:rFonts w:hint="eastAsia"/>
                <w:sz w:val="24"/>
              </w:rPr>
              <w:t>●设计算法模型训练、算法模型验证及评测等技术流程</w:t>
            </w:r>
          </w:p>
          <w:p w14:paraId="3BF296F4">
            <w:pPr>
              <w:pStyle w:val="16"/>
              <w:spacing w:line="360" w:lineRule="auto"/>
              <w:ind w:firstLine="0" w:firstLineChars="0"/>
              <w:jc w:val="left"/>
              <w:rPr>
                <w:rFonts w:hint="eastAsia"/>
                <w:sz w:val="24"/>
              </w:rPr>
            </w:pPr>
            <w:r>
              <w:rPr>
                <w:rFonts w:hint="eastAsia"/>
                <w:sz w:val="24"/>
              </w:rPr>
              <w:t>●灵活使用jupyter notebook、Vscode等 IDE 软件</w:t>
            </w:r>
          </w:p>
          <w:p w14:paraId="6314CCCD">
            <w:pPr>
              <w:pStyle w:val="16"/>
              <w:spacing w:line="360" w:lineRule="auto"/>
              <w:ind w:firstLine="0" w:firstLineChars="0"/>
              <w:jc w:val="left"/>
              <w:rPr>
                <w:rFonts w:hint="eastAsia"/>
                <w:sz w:val="24"/>
              </w:rPr>
            </w:pPr>
            <w:r>
              <w:rPr>
                <w:rFonts w:hint="eastAsia"/>
                <w:sz w:val="24"/>
              </w:rPr>
              <w:t>●灵活使用PyTorch等深度学习框架</w:t>
            </w:r>
          </w:p>
        </w:tc>
        <w:tc>
          <w:tcPr>
            <w:tcW w:w="2152" w:type="dxa"/>
            <w:vMerge w:val="continue"/>
            <w:tcBorders>
              <w:left w:val="single" w:color="auto" w:sz="4" w:space="0"/>
              <w:bottom w:val="single" w:color="auto" w:sz="4" w:space="0"/>
              <w:right w:val="single" w:color="auto" w:sz="4" w:space="0"/>
            </w:tcBorders>
            <w:noWrap w:val="0"/>
            <w:vAlign w:val="center"/>
          </w:tcPr>
          <w:p w14:paraId="33F1FAF5">
            <w:pPr>
              <w:pStyle w:val="16"/>
              <w:spacing w:line="360" w:lineRule="auto"/>
              <w:ind w:firstLine="0" w:firstLineChars="0"/>
              <w:jc w:val="center"/>
              <w:rPr>
                <w:rFonts w:hint="eastAsia"/>
                <w:b/>
                <w:bCs/>
                <w:sz w:val="24"/>
              </w:rPr>
            </w:pPr>
          </w:p>
        </w:tc>
      </w:tr>
      <w:tr w14:paraId="3EF0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785B73BF">
            <w:pPr>
              <w:pStyle w:val="16"/>
              <w:spacing w:line="360" w:lineRule="auto"/>
              <w:ind w:firstLine="0" w:firstLineChars="0"/>
              <w:jc w:val="center"/>
              <w:rPr>
                <w:rFonts w:hint="eastAsia"/>
                <w:b/>
                <w:bCs/>
                <w:sz w:val="24"/>
              </w:rPr>
            </w:pPr>
            <w:r>
              <w:rPr>
                <w:rFonts w:hint="eastAsia"/>
                <w:b/>
                <w:bCs/>
                <w:sz w:val="24"/>
              </w:rPr>
              <w:t>5</w:t>
            </w:r>
          </w:p>
        </w:tc>
        <w:tc>
          <w:tcPr>
            <w:tcW w:w="4852" w:type="dxa"/>
            <w:tcBorders>
              <w:top w:val="single" w:color="auto" w:sz="4" w:space="0"/>
              <w:left w:val="single" w:color="auto" w:sz="4" w:space="0"/>
              <w:bottom w:val="single" w:color="auto" w:sz="4" w:space="0"/>
              <w:right w:val="single" w:color="auto" w:sz="4" w:space="0"/>
            </w:tcBorders>
            <w:noWrap w:val="0"/>
            <w:vAlign w:val="center"/>
          </w:tcPr>
          <w:p w14:paraId="19B7A45A">
            <w:pPr>
              <w:pStyle w:val="16"/>
              <w:spacing w:line="360" w:lineRule="auto"/>
              <w:ind w:firstLine="0" w:firstLineChars="0"/>
              <w:jc w:val="center"/>
              <w:rPr>
                <w:rFonts w:hint="eastAsia"/>
                <w:b/>
                <w:bCs/>
                <w:sz w:val="24"/>
              </w:rPr>
            </w:pPr>
            <w:r>
              <w:rPr>
                <w:rFonts w:hint="eastAsia"/>
                <w:b/>
                <w:bCs/>
                <w:sz w:val="24"/>
              </w:rPr>
              <w:t>模型性能评估</w:t>
            </w:r>
          </w:p>
        </w:tc>
        <w:tc>
          <w:tcPr>
            <w:tcW w:w="2152" w:type="dxa"/>
            <w:vMerge w:val="restart"/>
            <w:tcBorders>
              <w:top w:val="single" w:color="auto" w:sz="4" w:space="0"/>
              <w:left w:val="single" w:color="auto" w:sz="4" w:space="0"/>
              <w:right w:val="single" w:color="auto" w:sz="4" w:space="0"/>
            </w:tcBorders>
            <w:noWrap w:val="0"/>
            <w:vAlign w:val="center"/>
          </w:tcPr>
          <w:p w14:paraId="2FBB284F">
            <w:pPr>
              <w:pStyle w:val="16"/>
              <w:spacing w:line="360" w:lineRule="auto"/>
              <w:ind w:firstLine="0" w:firstLineChars="0"/>
              <w:jc w:val="center"/>
              <w:rPr>
                <w:b/>
                <w:bCs/>
                <w:sz w:val="24"/>
              </w:rPr>
            </w:pPr>
            <w:r>
              <w:rPr>
                <w:rFonts w:hint="eastAsia"/>
                <w:b/>
                <w:bCs/>
                <w:sz w:val="24"/>
              </w:rPr>
              <w:t>5%</w:t>
            </w:r>
          </w:p>
        </w:tc>
      </w:tr>
      <w:tr w14:paraId="7CFA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01396739">
            <w:pPr>
              <w:pStyle w:val="16"/>
              <w:spacing w:line="360" w:lineRule="auto"/>
              <w:ind w:firstLine="0" w:firstLineChars="0"/>
              <w:jc w:val="center"/>
              <w:rPr>
                <w:rFonts w:hint="eastAsia"/>
                <w:sz w:val="24"/>
              </w:rPr>
            </w:pPr>
          </w:p>
        </w:tc>
        <w:tc>
          <w:tcPr>
            <w:tcW w:w="4852" w:type="dxa"/>
            <w:tcBorders>
              <w:top w:val="single" w:color="auto" w:sz="4" w:space="0"/>
              <w:left w:val="single" w:color="auto" w:sz="4" w:space="0"/>
              <w:bottom w:val="single" w:color="auto" w:sz="4" w:space="0"/>
              <w:right w:val="single" w:color="auto" w:sz="4" w:space="0"/>
            </w:tcBorders>
            <w:noWrap w:val="0"/>
            <w:vAlign w:val="center"/>
          </w:tcPr>
          <w:p w14:paraId="014FC7FD">
            <w:pPr>
              <w:pStyle w:val="16"/>
              <w:spacing w:line="360" w:lineRule="auto"/>
              <w:ind w:firstLine="0" w:firstLineChars="0"/>
              <w:jc w:val="left"/>
              <w:rPr>
                <w:rFonts w:hint="eastAsia"/>
                <w:sz w:val="24"/>
              </w:rPr>
            </w:pPr>
            <w:r>
              <w:rPr>
                <w:rFonts w:hint="eastAsia"/>
                <w:sz w:val="24"/>
              </w:rPr>
              <w:t>●熟悉模型评估的方法和指标，包括准确性、召回率、精确率、ROC 曲线、AUC 值等</w:t>
            </w:r>
          </w:p>
        </w:tc>
        <w:tc>
          <w:tcPr>
            <w:tcW w:w="2152" w:type="dxa"/>
            <w:vMerge w:val="continue"/>
            <w:tcBorders>
              <w:left w:val="single" w:color="auto" w:sz="4" w:space="0"/>
              <w:bottom w:val="single" w:color="auto" w:sz="4" w:space="0"/>
              <w:right w:val="single" w:color="auto" w:sz="4" w:space="0"/>
            </w:tcBorders>
            <w:noWrap w:val="0"/>
            <w:vAlign w:val="center"/>
          </w:tcPr>
          <w:p w14:paraId="1AE6C4F1">
            <w:pPr>
              <w:pStyle w:val="16"/>
              <w:spacing w:line="360" w:lineRule="auto"/>
              <w:ind w:firstLine="0" w:firstLineChars="0"/>
              <w:jc w:val="center"/>
              <w:rPr>
                <w:rFonts w:hint="eastAsia"/>
                <w:b/>
                <w:bCs/>
                <w:sz w:val="24"/>
              </w:rPr>
            </w:pPr>
          </w:p>
        </w:tc>
      </w:tr>
      <w:tr w14:paraId="5ECA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43807560">
            <w:pPr>
              <w:pStyle w:val="16"/>
              <w:spacing w:line="360" w:lineRule="auto"/>
              <w:ind w:firstLine="0" w:firstLineChars="0"/>
              <w:jc w:val="center"/>
              <w:rPr>
                <w:rFonts w:hint="eastAsia"/>
                <w:b/>
                <w:bCs/>
                <w:sz w:val="24"/>
              </w:rPr>
            </w:pPr>
            <w:r>
              <w:rPr>
                <w:rFonts w:hint="eastAsia"/>
                <w:b/>
                <w:bCs/>
                <w:sz w:val="24"/>
              </w:rPr>
              <w:t>6</w:t>
            </w:r>
          </w:p>
        </w:tc>
        <w:tc>
          <w:tcPr>
            <w:tcW w:w="4852" w:type="dxa"/>
            <w:tcBorders>
              <w:top w:val="single" w:color="auto" w:sz="4" w:space="0"/>
              <w:left w:val="single" w:color="auto" w:sz="4" w:space="0"/>
              <w:bottom w:val="single" w:color="auto" w:sz="4" w:space="0"/>
              <w:right w:val="single" w:color="auto" w:sz="4" w:space="0"/>
            </w:tcBorders>
            <w:noWrap w:val="0"/>
            <w:vAlign w:val="center"/>
          </w:tcPr>
          <w:p w14:paraId="6FD1CEB0">
            <w:pPr>
              <w:pStyle w:val="16"/>
              <w:spacing w:line="360" w:lineRule="auto"/>
              <w:ind w:firstLine="0" w:firstLineChars="0"/>
              <w:jc w:val="center"/>
              <w:rPr>
                <w:rFonts w:hint="eastAsia"/>
                <w:b/>
                <w:bCs/>
                <w:sz w:val="24"/>
              </w:rPr>
            </w:pPr>
            <w:r>
              <w:rPr>
                <w:rFonts w:hint="eastAsia"/>
                <w:b/>
                <w:bCs/>
                <w:sz w:val="24"/>
              </w:rPr>
              <w:t>模型部署应用</w:t>
            </w:r>
          </w:p>
        </w:tc>
        <w:tc>
          <w:tcPr>
            <w:tcW w:w="2152" w:type="dxa"/>
            <w:vMerge w:val="restart"/>
            <w:tcBorders>
              <w:top w:val="single" w:color="auto" w:sz="4" w:space="0"/>
              <w:left w:val="single" w:color="auto" w:sz="4" w:space="0"/>
              <w:right w:val="single" w:color="auto" w:sz="4" w:space="0"/>
            </w:tcBorders>
            <w:noWrap w:val="0"/>
            <w:vAlign w:val="center"/>
          </w:tcPr>
          <w:p w14:paraId="52641759">
            <w:pPr>
              <w:pStyle w:val="16"/>
              <w:spacing w:line="360" w:lineRule="auto"/>
              <w:ind w:firstLine="0" w:firstLineChars="0"/>
              <w:jc w:val="center"/>
              <w:rPr>
                <w:b/>
                <w:bCs/>
                <w:sz w:val="24"/>
              </w:rPr>
            </w:pPr>
            <w:r>
              <w:rPr>
                <w:rFonts w:hint="eastAsia"/>
                <w:b/>
                <w:bCs/>
                <w:sz w:val="24"/>
              </w:rPr>
              <w:t>35%</w:t>
            </w:r>
          </w:p>
        </w:tc>
      </w:tr>
      <w:tr w14:paraId="7998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76608F88">
            <w:pPr>
              <w:pStyle w:val="16"/>
              <w:spacing w:line="360" w:lineRule="auto"/>
              <w:ind w:firstLine="0" w:firstLineChars="0"/>
              <w:jc w:val="center"/>
              <w:rPr>
                <w:rFonts w:hint="eastAsia"/>
                <w:sz w:val="24"/>
              </w:rPr>
            </w:pPr>
          </w:p>
        </w:tc>
        <w:tc>
          <w:tcPr>
            <w:tcW w:w="4852" w:type="dxa"/>
            <w:tcBorders>
              <w:top w:val="single" w:color="auto" w:sz="4" w:space="0"/>
              <w:left w:val="single" w:color="auto" w:sz="4" w:space="0"/>
              <w:bottom w:val="single" w:color="auto" w:sz="4" w:space="0"/>
              <w:right w:val="single" w:color="auto" w:sz="4" w:space="0"/>
            </w:tcBorders>
            <w:noWrap w:val="0"/>
            <w:vAlign w:val="top"/>
          </w:tcPr>
          <w:p w14:paraId="3C29FCFA">
            <w:pPr>
              <w:pStyle w:val="16"/>
              <w:spacing w:line="360" w:lineRule="auto"/>
              <w:ind w:firstLine="0" w:firstLineChars="0"/>
              <w:jc w:val="left"/>
              <w:rPr>
                <w:rFonts w:hint="eastAsia"/>
                <w:sz w:val="24"/>
              </w:rPr>
            </w:pPr>
            <w:r>
              <w:rPr>
                <w:rFonts w:hint="eastAsia"/>
                <w:sz w:val="24"/>
              </w:rPr>
              <w:t>●掌握模型部署流程设计</w:t>
            </w:r>
          </w:p>
          <w:p w14:paraId="352B8983">
            <w:pPr>
              <w:pStyle w:val="16"/>
              <w:spacing w:line="360" w:lineRule="auto"/>
              <w:ind w:firstLine="0" w:firstLineChars="0"/>
              <w:jc w:val="left"/>
              <w:rPr>
                <w:rFonts w:hint="eastAsia"/>
                <w:sz w:val="24"/>
              </w:rPr>
            </w:pPr>
            <w:r>
              <w:rPr>
                <w:rFonts w:hint="eastAsia"/>
                <w:sz w:val="24"/>
              </w:rPr>
              <w:t>●掌握人工智能场景应用调试方法</w:t>
            </w:r>
          </w:p>
        </w:tc>
        <w:tc>
          <w:tcPr>
            <w:tcW w:w="2152" w:type="dxa"/>
            <w:vMerge w:val="continue"/>
            <w:tcBorders>
              <w:left w:val="single" w:color="auto" w:sz="4" w:space="0"/>
              <w:bottom w:val="single" w:color="auto" w:sz="4" w:space="0"/>
              <w:right w:val="single" w:color="auto" w:sz="4" w:space="0"/>
            </w:tcBorders>
            <w:noWrap w:val="0"/>
            <w:vAlign w:val="top"/>
          </w:tcPr>
          <w:p w14:paraId="3973FEE2">
            <w:pPr>
              <w:pStyle w:val="16"/>
              <w:spacing w:line="360" w:lineRule="auto"/>
              <w:ind w:firstLine="0" w:firstLineChars="0"/>
              <w:jc w:val="center"/>
              <w:rPr>
                <w:rFonts w:hint="eastAsia"/>
                <w:b/>
                <w:bCs/>
                <w:sz w:val="24"/>
              </w:rPr>
            </w:pPr>
          </w:p>
        </w:tc>
      </w:tr>
      <w:tr w14:paraId="3FEE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7FABAF81">
            <w:pPr>
              <w:pStyle w:val="16"/>
              <w:spacing w:line="360" w:lineRule="auto"/>
              <w:ind w:firstLine="0" w:firstLineChars="0"/>
              <w:jc w:val="center"/>
              <w:rPr>
                <w:rFonts w:hint="eastAsia"/>
                <w:b/>
                <w:bCs/>
                <w:sz w:val="24"/>
              </w:rPr>
            </w:pPr>
            <w:r>
              <w:rPr>
                <w:rFonts w:hint="eastAsia"/>
                <w:b/>
                <w:bCs/>
                <w:sz w:val="24"/>
              </w:rPr>
              <w:t>7</w:t>
            </w:r>
          </w:p>
        </w:tc>
        <w:tc>
          <w:tcPr>
            <w:tcW w:w="4852" w:type="dxa"/>
            <w:tcBorders>
              <w:top w:val="single" w:color="auto" w:sz="4" w:space="0"/>
              <w:left w:val="single" w:color="auto" w:sz="4" w:space="0"/>
              <w:bottom w:val="single" w:color="auto" w:sz="4" w:space="0"/>
              <w:right w:val="single" w:color="auto" w:sz="4" w:space="0"/>
            </w:tcBorders>
            <w:noWrap w:val="0"/>
            <w:vAlign w:val="top"/>
          </w:tcPr>
          <w:p w14:paraId="029F6F90">
            <w:pPr>
              <w:pStyle w:val="16"/>
              <w:spacing w:line="360" w:lineRule="auto"/>
              <w:ind w:firstLine="0" w:firstLineChars="0"/>
              <w:jc w:val="center"/>
              <w:rPr>
                <w:rFonts w:hint="eastAsia"/>
                <w:b/>
                <w:bCs/>
                <w:sz w:val="24"/>
              </w:rPr>
            </w:pPr>
            <w:r>
              <w:rPr>
                <w:rFonts w:hint="eastAsia"/>
                <w:b/>
                <w:bCs/>
                <w:sz w:val="24"/>
              </w:rPr>
              <w:t>安全意识与职业素养</w:t>
            </w:r>
          </w:p>
        </w:tc>
        <w:tc>
          <w:tcPr>
            <w:tcW w:w="2152" w:type="dxa"/>
            <w:vMerge w:val="restart"/>
            <w:tcBorders>
              <w:top w:val="single" w:color="auto" w:sz="4" w:space="0"/>
              <w:left w:val="single" w:color="auto" w:sz="4" w:space="0"/>
              <w:right w:val="single" w:color="auto" w:sz="4" w:space="0"/>
            </w:tcBorders>
            <w:noWrap w:val="0"/>
            <w:vAlign w:val="center"/>
          </w:tcPr>
          <w:p w14:paraId="52212D43">
            <w:pPr>
              <w:pStyle w:val="16"/>
              <w:spacing w:line="360" w:lineRule="auto"/>
              <w:ind w:firstLine="0" w:firstLineChars="0"/>
              <w:jc w:val="center"/>
              <w:rPr>
                <w:b/>
                <w:bCs/>
                <w:sz w:val="24"/>
              </w:rPr>
            </w:pPr>
            <w:r>
              <w:rPr>
                <w:rFonts w:hint="eastAsia"/>
                <w:b/>
                <w:bCs/>
                <w:sz w:val="24"/>
              </w:rPr>
              <w:t>5%</w:t>
            </w:r>
          </w:p>
        </w:tc>
      </w:tr>
      <w:tr w14:paraId="6E8C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3FF1CF73">
            <w:pPr>
              <w:pStyle w:val="16"/>
              <w:spacing w:line="360" w:lineRule="auto"/>
              <w:ind w:firstLine="0" w:firstLineChars="0"/>
              <w:jc w:val="center"/>
              <w:rPr>
                <w:rFonts w:hint="eastAsia"/>
                <w:sz w:val="24"/>
              </w:rPr>
            </w:pPr>
          </w:p>
        </w:tc>
        <w:tc>
          <w:tcPr>
            <w:tcW w:w="4852" w:type="dxa"/>
            <w:tcBorders>
              <w:top w:val="single" w:color="auto" w:sz="4" w:space="0"/>
              <w:left w:val="single" w:color="auto" w:sz="4" w:space="0"/>
              <w:bottom w:val="single" w:color="auto" w:sz="4" w:space="0"/>
              <w:right w:val="single" w:color="auto" w:sz="4" w:space="0"/>
            </w:tcBorders>
            <w:noWrap w:val="0"/>
            <w:vAlign w:val="top"/>
          </w:tcPr>
          <w:p w14:paraId="48938E5D">
            <w:pPr>
              <w:pStyle w:val="16"/>
              <w:spacing w:line="360" w:lineRule="auto"/>
              <w:ind w:firstLine="0" w:firstLineChars="0"/>
              <w:jc w:val="left"/>
              <w:rPr>
                <w:rFonts w:hint="eastAsia"/>
                <w:sz w:val="24"/>
              </w:rPr>
            </w:pPr>
            <w:r>
              <w:rPr>
                <w:rFonts w:hint="eastAsia"/>
                <w:sz w:val="24"/>
              </w:rPr>
              <w:t>●网络安全意识、数据保护法律与伦理、团队合作与沟通技巧</w:t>
            </w:r>
          </w:p>
          <w:p w14:paraId="0879FAA4">
            <w:pPr>
              <w:pStyle w:val="16"/>
              <w:spacing w:line="360" w:lineRule="auto"/>
              <w:ind w:firstLine="0" w:firstLineChars="0"/>
              <w:jc w:val="left"/>
              <w:rPr>
                <w:rFonts w:hint="eastAsia"/>
                <w:sz w:val="24"/>
              </w:rPr>
            </w:pPr>
            <w:r>
              <w:rPr>
                <w:rFonts w:hint="eastAsia"/>
                <w:sz w:val="24"/>
              </w:rPr>
              <w:t>●对数据安全、用户隐私保护以及职业行为规范的了解和重视程度</w:t>
            </w:r>
          </w:p>
        </w:tc>
        <w:tc>
          <w:tcPr>
            <w:tcW w:w="2152" w:type="dxa"/>
            <w:vMerge w:val="continue"/>
            <w:tcBorders>
              <w:left w:val="single" w:color="auto" w:sz="4" w:space="0"/>
              <w:bottom w:val="single" w:color="auto" w:sz="4" w:space="0"/>
              <w:right w:val="single" w:color="auto" w:sz="4" w:space="0"/>
            </w:tcBorders>
            <w:noWrap w:val="0"/>
            <w:vAlign w:val="center"/>
          </w:tcPr>
          <w:p w14:paraId="15515105">
            <w:pPr>
              <w:pStyle w:val="16"/>
              <w:spacing w:line="360" w:lineRule="auto"/>
              <w:ind w:firstLine="0" w:firstLineChars="0"/>
              <w:jc w:val="center"/>
              <w:rPr>
                <w:rFonts w:hint="eastAsia"/>
                <w:b/>
                <w:bCs/>
                <w:sz w:val="24"/>
              </w:rPr>
            </w:pPr>
          </w:p>
        </w:tc>
      </w:tr>
      <w:tr w14:paraId="5340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14:paraId="50F8F280">
            <w:pPr>
              <w:pStyle w:val="16"/>
              <w:spacing w:line="360" w:lineRule="auto"/>
              <w:ind w:firstLine="0" w:firstLineChars="0"/>
              <w:jc w:val="center"/>
              <w:rPr>
                <w:rFonts w:hint="eastAsia"/>
                <w:sz w:val="24"/>
              </w:rPr>
            </w:pPr>
            <w:r>
              <w:rPr>
                <w:rFonts w:hint="eastAsia"/>
                <w:sz w:val="24"/>
              </w:rPr>
              <w:t>合计</w:t>
            </w:r>
          </w:p>
        </w:tc>
        <w:tc>
          <w:tcPr>
            <w:tcW w:w="4852" w:type="dxa"/>
            <w:tcBorders>
              <w:top w:val="single" w:color="auto" w:sz="4" w:space="0"/>
              <w:left w:val="single" w:color="auto" w:sz="4" w:space="0"/>
              <w:bottom w:val="single" w:color="auto" w:sz="4" w:space="0"/>
              <w:right w:val="single" w:color="auto" w:sz="4" w:space="0"/>
            </w:tcBorders>
            <w:noWrap w:val="0"/>
            <w:vAlign w:val="top"/>
          </w:tcPr>
          <w:p w14:paraId="3224A769">
            <w:pPr>
              <w:pStyle w:val="16"/>
              <w:spacing w:line="360" w:lineRule="auto"/>
              <w:ind w:firstLine="0" w:firstLineChars="0"/>
              <w:jc w:val="center"/>
              <w:rPr>
                <w:rFonts w:hint="eastAsia"/>
                <w:sz w:val="24"/>
              </w:rPr>
            </w:pPr>
          </w:p>
        </w:tc>
        <w:tc>
          <w:tcPr>
            <w:tcW w:w="2152" w:type="dxa"/>
            <w:tcBorders>
              <w:top w:val="single" w:color="auto" w:sz="4" w:space="0"/>
              <w:left w:val="single" w:color="auto" w:sz="4" w:space="0"/>
              <w:bottom w:val="single" w:color="auto" w:sz="4" w:space="0"/>
              <w:right w:val="single" w:color="auto" w:sz="4" w:space="0"/>
            </w:tcBorders>
            <w:noWrap w:val="0"/>
            <w:vAlign w:val="top"/>
          </w:tcPr>
          <w:p w14:paraId="1B25A1D2">
            <w:pPr>
              <w:pStyle w:val="16"/>
              <w:spacing w:line="360" w:lineRule="auto"/>
              <w:ind w:firstLine="0" w:firstLineChars="0"/>
              <w:jc w:val="center"/>
              <w:rPr>
                <w:rFonts w:hint="eastAsia"/>
                <w:b/>
                <w:bCs/>
                <w:sz w:val="24"/>
              </w:rPr>
            </w:pPr>
            <w:r>
              <w:rPr>
                <w:rFonts w:hint="eastAsia"/>
                <w:b/>
                <w:bCs/>
                <w:sz w:val="24"/>
              </w:rPr>
              <w:t>100</w:t>
            </w:r>
          </w:p>
        </w:tc>
      </w:tr>
    </w:tbl>
    <w:p w14:paraId="420A84F0">
      <w:pPr>
        <w:pStyle w:val="16"/>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outlineLvl w:val="0"/>
        <w:rPr>
          <w:rFonts w:ascii="Times New Roman" w:hAnsi="Times New Roman" w:eastAsia="黑体" w:cs="Times New Roman"/>
          <w:bCs/>
          <w:szCs w:val="32"/>
        </w:rPr>
      </w:pPr>
      <w:bookmarkStart w:id="8" w:name="_Toc28463"/>
      <w:r>
        <w:rPr>
          <w:rFonts w:ascii="Times New Roman" w:hAnsi="Times New Roman" w:eastAsia="黑体" w:cs="Times New Roman"/>
          <w:bCs/>
          <w:szCs w:val="32"/>
        </w:rPr>
        <w:t>二、竞赛方式与</w:t>
      </w:r>
      <w:bookmarkEnd w:id="7"/>
      <w:r>
        <w:rPr>
          <w:rFonts w:ascii="Times New Roman" w:hAnsi="Times New Roman" w:eastAsia="黑体" w:cs="Times New Roman"/>
          <w:bCs/>
          <w:szCs w:val="32"/>
        </w:rPr>
        <w:t>考核内容</w:t>
      </w:r>
      <w:bookmarkEnd w:id="8"/>
    </w:p>
    <w:p w14:paraId="09377C86">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楷体_GB2312" w:cs="Times New Roman"/>
          <w:szCs w:val="32"/>
        </w:rPr>
      </w:pPr>
      <w:bookmarkStart w:id="9" w:name="_Toc15447"/>
      <w:r>
        <w:rPr>
          <w:rFonts w:ascii="Times New Roman" w:hAnsi="Times New Roman" w:eastAsia="楷体_GB2312" w:cs="Times New Roman"/>
          <w:szCs w:val="32"/>
        </w:rPr>
        <w:t>（</w:t>
      </w:r>
      <w:r>
        <w:rPr>
          <w:rFonts w:hint="eastAsia" w:ascii="Times New Roman" w:hAnsi="Times New Roman" w:eastAsia="楷体_GB2312" w:cs="Times New Roman"/>
          <w:szCs w:val="32"/>
          <w:lang w:val="en-US" w:eastAsia="zh-CN"/>
        </w:rPr>
        <w:t>一</w:t>
      </w:r>
      <w:r>
        <w:rPr>
          <w:rFonts w:ascii="Times New Roman" w:hAnsi="Times New Roman" w:eastAsia="楷体_GB2312" w:cs="Times New Roman"/>
          <w:szCs w:val="32"/>
        </w:rPr>
        <w:t>）</w:t>
      </w:r>
      <w:r>
        <w:rPr>
          <w:rFonts w:hint="eastAsia" w:ascii="Times New Roman" w:hAnsi="Times New Roman" w:eastAsia="楷体_GB2312" w:cs="Times New Roman"/>
          <w:szCs w:val="32"/>
          <w:lang w:val="en-US" w:eastAsia="zh-CN"/>
        </w:rPr>
        <w:t>命题方式</w:t>
      </w:r>
      <w:bookmarkEnd w:id="9"/>
    </w:p>
    <w:p w14:paraId="7D66B865">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szCs w:val="32"/>
        </w:rPr>
        <w:t>本赛项的竞赛考核形式为个人赛，</w:t>
      </w:r>
      <w:r>
        <w:rPr>
          <w:color w:val="auto"/>
          <w:szCs w:val="32"/>
        </w:rPr>
        <w:t>竞赛分为初赛和决赛两个阶段，初赛为理论考试竞赛，决赛为实操考核竞赛。</w:t>
      </w:r>
      <w:r>
        <w:rPr>
          <w:rFonts w:hint="eastAsia"/>
          <w:szCs w:val="32"/>
          <w:lang w:val="en-US" w:eastAsia="zh-CN"/>
        </w:rPr>
        <w:t>以人工智能训练师国家职业资格三级（高级工）标准为依据，并结合行业实际情况，适当增加新知识、新技术等内容。其中，理论考核成绩占30%，实际操作成绩占 70%。试题由竞赛执委会组织专家统一命制。</w:t>
      </w:r>
    </w:p>
    <w:p w14:paraId="564F063B">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楷体_GB2312" w:cs="Times New Roman"/>
          <w:szCs w:val="32"/>
        </w:rPr>
      </w:pPr>
      <w:bookmarkStart w:id="10" w:name="_Toc14840"/>
      <w:r>
        <w:rPr>
          <w:rFonts w:ascii="Times New Roman" w:hAnsi="Times New Roman" w:eastAsia="楷体_GB2312" w:cs="Times New Roman"/>
          <w:szCs w:val="32"/>
        </w:rPr>
        <w:t>（</w:t>
      </w:r>
      <w:r>
        <w:rPr>
          <w:rFonts w:hint="eastAsia" w:ascii="Times New Roman" w:hAnsi="Times New Roman" w:eastAsia="楷体_GB2312" w:cs="Times New Roman"/>
          <w:szCs w:val="32"/>
          <w:lang w:val="en-US" w:eastAsia="zh-CN"/>
        </w:rPr>
        <w:t>二</w:t>
      </w:r>
      <w:r>
        <w:rPr>
          <w:rFonts w:ascii="Times New Roman" w:hAnsi="Times New Roman" w:eastAsia="楷体_GB2312" w:cs="Times New Roman"/>
          <w:szCs w:val="32"/>
        </w:rPr>
        <w:t>）考核</w:t>
      </w:r>
      <w:r>
        <w:rPr>
          <w:rFonts w:hint="eastAsia" w:ascii="Times New Roman" w:hAnsi="Times New Roman" w:eastAsia="楷体_GB2312" w:cs="Times New Roman"/>
          <w:szCs w:val="32"/>
          <w:lang w:val="en-US" w:eastAsia="zh-CN"/>
        </w:rPr>
        <w:t>方式及</w:t>
      </w:r>
      <w:r>
        <w:rPr>
          <w:rFonts w:ascii="Times New Roman" w:hAnsi="Times New Roman" w:eastAsia="楷体_GB2312" w:cs="Times New Roman"/>
          <w:szCs w:val="32"/>
        </w:rPr>
        <w:t>内容</w:t>
      </w:r>
      <w:bookmarkEnd w:id="10"/>
    </w:p>
    <w:p w14:paraId="791477C4">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szCs w:val="32"/>
        </w:rPr>
        <w:t>1. 理论</w:t>
      </w:r>
      <w:r>
        <w:rPr>
          <w:rFonts w:hint="eastAsia" w:cs="Times New Roman"/>
          <w:szCs w:val="32"/>
        </w:rPr>
        <w:t>考核</w:t>
      </w:r>
      <w:r>
        <w:rPr>
          <w:szCs w:val="32"/>
        </w:rPr>
        <w:t>竞赛（100 道题，满分：100 分）</w:t>
      </w:r>
    </w:p>
    <w:p w14:paraId="0A0257C6">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szCs w:val="32"/>
        </w:rPr>
        <w:t>考试内容：</w:t>
      </w:r>
      <w:r>
        <w:rPr>
          <w:rFonts w:hint="eastAsia" w:ascii="宋体" w:hAnsi="宋体" w:cs="宋体"/>
        </w:rPr>
        <w:t>人工智能工程管理、数据采集和处理、数据归类和定义、数据标注审核和模型训练与应用5个部分。</w:t>
      </w:r>
    </w:p>
    <w:p w14:paraId="377F1D5F">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szCs w:val="32"/>
        </w:rPr>
        <w:t>考试</w:t>
      </w:r>
      <w:r>
        <w:rPr>
          <w:rFonts w:hint="eastAsia" w:cs="Times New Roman"/>
          <w:szCs w:val="32"/>
        </w:rPr>
        <w:t>题型</w:t>
      </w:r>
      <w:r>
        <w:rPr>
          <w:szCs w:val="32"/>
        </w:rPr>
        <w:t>：</w:t>
      </w:r>
      <w:r>
        <w:rPr>
          <w:rFonts w:hint="eastAsia"/>
          <w:szCs w:val="32"/>
          <w:lang w:val="en-US" w:eastAsia="zh-CN"/>
        </w:rPr>
        <w:t>60</w:t>
      </w:r>
      <w:r>
        <w:rPr>
          <w:szCs w:val="32"/>
        </w:rPr>
        <w:t xml:space="preserve">题单项选择题（每题 </w:t>
      </w:r>
      <w:r>
        <w:rPr>
          <w:rFonts w:hint="eastAsia"/>
          <w:szCs w:val="32"/>
          <w:lang w:val="en-US" w:eastAsia="zh-CN"/>
        </w:rPr>
        <w:t>1</w:t>
      </w:r>
      <w:r>
        <w:rPr>
          <w:szCs w:val="32"/>
        </w:rPr>
        <w:t xml:space="preserve"> 分）、</w:t>
      </w:r>
      <w:r>
        <w:rPr>
          <w:rFonts w:hint="eastAsia"/>
          <w:szCs w:val="32"/>
          <w:lang w:val="en-US" w:eastAsia="zh-CN"/>
        </w:rPr>
        <w:t>20</w:t>
      </w:r>
      <w:r>
        <w:rPr>
          <w:szCs w:val="32"/>
        </w:rPr>
        <w:t>题判断题（每题</w:t>
      </w:r>
      <w:r>
        <w:rPr>
          <w:rFonts w:hint="eastAsia"/>
          <w:szCs w:val="32"/>
          <w:lang w:val="en-US" w:eastAsia="zh-CN"/>
        </w:rPr>
        <w:t>0.5</w:t>
      </w:r>
      <w:r>
        <w:rPr>
          <w:szCs w:val="32"/>
        </w:rPr>
        <w:t>分）</w:t>
      </w:r>
      <w:r>
        <w:rPr>
          <w:rFonts w:hint="eastAsia"/>
          <w:szCs w:val="32"/>
          <w:lang w:eastAsia="zh-CN"/>
        </w:rPr>
        <w:t>、</w:t>
      </w:r>
      <w:r>
        <w:rPr>
          <w:rFonts w:hint="eastAsia"/>
          <w:szCs w:val="32"/>
          <w:lang w:val="en-US" w:eastAsia="zh-CN"/>
        </w:rPr>
        <w:t>20</w:t>
      </w:r>
      <w:r>
        <w:rPr>
          <w:szCs w:val="32"/>
        </w:rPr>
        <w:t>题</w:t>
      </w:r>
      <w:r>
        <w:rPr>
          <w:rFonts w:hint="eastAsia"/>
          <w:szCs w:val="32"/>
          <w:lang w:val="en-US" w:eastAsia="zh-CN"/>
        </w:rPr>
        <w:t>多</w:t>
      </w:r>
      <w:r>
        <w:rPr>
          <w:szCs w:val="32"/>
        </w:rPr>
        <w:t xml:space="preserve">项选择题（每题 </w:t>
      </w:r>
      <w:r>
        <w:rPr>
          <w:rFonts w:hint="eastAsia"/>
          <w:szCs w:val="32"/>
          <w:lang w:val="en-US" w:eastAsia="zh-CN"/>
        </w:rPr>
        <w:t>1.5</w:t>
      </w:r>
      <w:r>
        <w:rPr>
          <w:szCs w:val="32"/>
        </w:rPr>
        <w:t xml:space="preserve"> 分）</w:t>
      </w:r>
      <w:r>
        <w:rPr>
          <w:rFonts w:hint="eastAsia"/>
          <w:szCs w:val="32"/>
          <w:lang w:eastAsia="zh-CN"/>
        </w:rPr>
        <w:t>，</w:t>
      </w:r>
      <w:r>
        <w:rPr>
          <w:szCs w:val="32"/>
        </w:rPr>
        <w:t>满分 100 分。</w:t>
      </w:r>
    </w:p>
    <w:p w14:paraId="436594BE">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szCs w:val="32"/>
        </w:rPr>
        <w:t>考试</w:t>
      </w:r>
      <w:r>
        <w:rPr>
          <w:rFonts w:hint="eastAsia" w:cs="Times New Roman"/>
          <w:szCs w:val="32"/>
        </w:rPr>
        <w:t>时间</w:t>
      </w:r>
      <w:r>
        <w:rPr>
          <w:szCs w:val="32"/>
        </w:rPr>
        <w:t>：</w:t>
      </w:r>
      <w:r>
        <w:rPr>
          <w:rFonts w:hint="eastAsia"/>
          <w:szCs w:val="32"/>
          <w:lang w:val="en-US" w:eastAsia="zh-CN"/>
        </w:rPr>
        <w:t>90</w:t>
      </w:r>
      <w:r>
        <w:rPr>
          <w:szCs w:val="32"/>
        </w:rPr>
        <w:t>分钟。</w:t>
      </w:r>
    </w:p>
    <w:p w14:paraId="5D5D8756">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szCs w:val="32"/>
        </w:rPr>
        <w:t>考试</w:t>
      </w:r>
      <w:r>
        <w:rPr>
          <w:rFonts w:hint="eastAsia" w:cs="Times New Roman"/>
          <w:szCs w:val="32"/>
        </w:rPr>
        <w:t>方式</w:t>
      </w:r>
      <w:r>
        <w:rPr>
          <w:szCs w:val="32"/>
        </w:rPr>
        <w:t>：机考。</w:t>
      </w:r>
    </w:p>
    <w:p w14:paraId="6F3C43DD">
      <w:pPr>
        <w:pStyle w:val="11"/>
        <w:spacing w:line="360" w:lineRule="auto"/>
        <w:ind w:firstLine="0" w:firstLineChars="0"/>
        <w:jc w:val="center"/>
        <w:rPr>
          <w:rFonts w:hint="eastAsia" w:ascii="宋体" w:hAnsi="宋体" w:cs="宋体"/>
          <w:b/>
        </w:rPr>
      </w:pPr>
      <w:r>
        <w:rPr>
          <w:rFonts w:ascii="宋体" w:hAnsi="宋体" w:cs="宋体"/>
          <w:b/>
        </w:rPr>
        <w:t>理论</w:t>
      </w:r>
      <w:r>
        <w:rPr>
          <w:rFonts w:hint="eastAsia" w:ascii="宋体" w:hAnsi="宋体" w:cs="宋体"/>
          <w:b/>
        </w:rPr>
        <w:t>考核</w:t>
      </w:r>
      <w:r>
        <w:rPr>
          <w:rFonts w:ascii="宋体" w:hAnsi="宋体" w:cs="宋体"/>
          <w:b/>
        </w:rPr>
        <w:t>竞赛范围</w:t>
      </w:r>
      <w:r>
        <w:rPr>
          <w:rFonts w:hint="eastAsia" w:ascii="宋体" w:hAnsi="宋体" w:cs="宋体"/>
          <w:b/>
        </w:rPr>
        <w:t>表</w:t>
      </w:r>
    </w:p>
    <w:tbl>
      <w:tblPr>
        <w:tblStyle w:val="12"/>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6032"/>
      </w:tblGrid>
      <w:tr w14:paraId="4019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98" w:type="dxa"/>
            <w:tcBorders>
              <w:top w:val="single" w:color="auto" w:sz="4" w:space="0"/>
              <w:left w:val="single" w:color="auto" w:sz="4" w:space="0"/>
              <w:bottom w:val="single" w:color="auto" w:sz="4" w:space="0"/>
              <w:right w:val="single" w:color="auto" w:sz="4" w:space="0"/>
            </w:tcBorders>
            <w:noWrap w:val="0"/>
            <w:vAlign w:val="center"/>
          </w:tcPr>
          <w:p w14:paraId="0B6C9A81">
            <w:pPr>
              <w:pStyle w:val="21"/>
              <w:spacing w:line="360" w:lineRule="auto"/>
              <w:jc w:val="center"/>
              <w:rPr>
                <w:rFonts w:ascii="宋体" w:hAnsi="宋体" w:cs="宋体"/>
                <w:b/>
                <w:bCs w:val="0"/>
              </w:rPr>
            </w:pPr>
            <w:r>
              <w:rPr>
                <w:rFonts w:ascii="宋体" w:hAnsi="宋体" w:cs="宋体"/>
                <w:b/>
                <w:bCs w:val="0"/>
              </w:rPr>
              <w:t>竞赛范围</w:t>
            </w:r>
          </w:p>
        </w:tc>
        <w:tc>
          <w:tcPr>
            <w:tcW w:w="6032" w:type="dxa"/>
            <w:tcBorders>
              <w:top w:val="single" w:color="auto" w:sz="4" w:space="0"/>
              <w:left w:val="nil"/>
              <w:bottom w:val="single" w:color="auto" w:sz="4" w:space="0"/>
              <w:right w:val="single" w:color="auto" w:sz="4" w:space="0"/>
            </w:tcBorders>
            <w:noWrap w:val="0"/>
            <w:vAlign w:val="center"/>
          </w:tcPr>
          <w:p w14:paraId="066AB672">
            <w:pPr>
              <w:pStyle w:val="21"/>
              <w:spacing w:line="360" w:lineRule="auto"/>
              <w:jc w:val="center"/>
              <w:rPr>
                <w:rFonts w:ascii="宋体" w:hAnsi="宋体" w:cs="宋体"/>
                <w:b/>
                <w:bCs w:val="0"/>
              </w:rPr>
            </w:pPr>
            <w:r>
              <w:rPr>
                <w:rFonts w:ascii="宋体" w:hAnsi="宋体" w:cs="宋体"/>
                <w:b/>
                <w:bCs w:val="0"/>
              </w:rPr>
              <w:t>竞赛内容</w:t>
            </w:r>
          </w:p>
        </w:tc>
      </w:tr>
      <w:tr w14:paraId="5C03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8" w:type="dxa"/>
            <w:vMerge w:val="restart"/>
            <w:tcBorders>
              <w:top w:val="nil"/>
              <w:left w:val="single" w:color="auto" w:sz="4" w:space="0"/>
              <w:bottom w:val="single" w:color="auto" w:sz="4" w:space="0"/>
              <w:right w:val="single" w:color="auto" w:sz="4" w:space="0"/>
            </w:tcBorders>
            <w:noWrap w:val="0"/>
            <w:vAlign w:val="center"/>
          </w:tcPr>
          <w:p w14:paraId="7CDC50BB">
            <w:pPr>
              <w:pStyle w:val="16"/>
              <w:spacing w:line="360" w:lineRule="auto"/>
              <w:ind w:firstLine="0" w:firstLineChars="0"/>
              <w:jc w:val="left"/>
              <w:rPr>
                <w:rFonts w:hint="eastAsia"/>
                <w:sz w:val="24"/>
              </w:rPr>
            </w:pPr>
            <w:r>
              <w:rPr>
                <w:rFonts w:hint="eastAsia"/>
                <w:sz w:val="24"/>
              </w:rPr>
              <w:t>人工智能工程管理</w:t>
            </w:r>
          </w:p>
        </w:tc>
        <w:tc>
          <w:tcPr>
            <w:tcW w:w="6032" w:type="dxa"/>
            <w:tcBorders>
              <w:top w:val="single" w:color="auto" w:sz="4" w:space="0"/>
              <w:left w:val="nil"/>
              <w:bottom w:val="single" w:color="auto" w:sz="4" w:space="0"/>
              <w:right w:val="single" w:color="auto" w:sz="4" w:space="0"/>
            </w:tcBorders>
            <w:noWrap w:val="0"/>
            <w:vAlign w:val="center"/>
          </w:tcPr>
          <w:p w14:paraId="08E73D34">
            <w:pPr>
              <w:pStyle w:val="16"/>
              <w:spacing w:line="360" w:lineRule="auto"/>
              <w:ind w:firstLine="0" w:firstLineChars="0"/>
              <w:jc w:val="left"/>
              <w:rPr>
                <w:rFonts w:hint="eastAsia"/>
                <w:sz w:val="24"/>
              </w:rPr>
            </w:pPr>
            <w:r>
              <w:rPr>
                <w:rFonts w:hint="eastAsia"/>
                <w:sz w:val="24"/>
              </w:rPr>
              <w:t>人工智能的基础技术与发展趋势</w:t>
            </w:r>
          </w:p>
        </w:tc>
      </w:tr>
      <w:tr w14:paraId="0055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06A56712">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center"/>
          </w:tcPr>
          <w:p w14:paraId="4E6CB1AD">
            <w:pPr>
              <w:pStyle w:val="16"/>
              <w:spacing w:line="360" w:lineRule="auto"/>
              <w:ind w:firstLine="0" w:firstLineChars="0"/>
              <w:jc w:val="left"/>
              <w:rPr>
                <w:rFonts w:hint="eastAsia"/>
                <w:sz w:val="24"/>
              </w:rPr>
            </w:pPr>
            <w:r>
              <w:rPr>
                <w:rFonts w:hint="eastAsia"/>
                <w:sz w:val="24"/>
              </w:rPr>
              <w:t>人工智能工程应用开发的基本流程</w:t>
            </w:r>
          </w:p>
        </w:tc>
      </w:tr>
      <w:tr w14:paraId="4744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4AF272DF">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center"/>
          </w:tcPr>
          <w:p w14:paraId="62B3D86C">
            <w:pPr>
              <w:pStyle w:val="16"/>
              <w:spacing w:line="360" w:lineRule="auto"/>
              <w:ind w:firstLine="0" w:firstLineChars="0"/>
              <w:jc w:val="left"/>
              <w:rPr>
                <w:rFonts w:hint="eastAsia"/>
                <w:sz w:val="24"/>
              </w:rPr>
            </w:pPr>
            <w:r>
              <w:rPr>
                <w:rFonts w:hint="eastAsia"/>
                <w:sz w:val="24"/>
              </w:rPr>
              <w:t>人工智能工程管理方法</w:t>
            </w:r>
          </w:p>
        </w:tc>
      </w:tr>
      <w:tr w14:paraId="1DDE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8" w:type="dxa"/>
            <w:vMerge w:val="restart"/>
            <w:tcBorders>
              <w:top w:val="nil"/>
              <w:left w:val="single" w:color="auto" w:sz="4" w:space="0"/>
              <w:bottom w:val="single" w:color="auto" w:sz="4" w:space="0"/>
              <w:right w:val="single" w:color="auto" w:sz="4" w:space="0"/>
            </w:tcBorders>
            <w:noWrap w:val="0"/>
            <w:vAlign w:val="center"/>
          </w:tcPr>
          <w:p w14:paraId="14DB33D2">
            <w:pPr>
              <w:pStyle w:val="16"/>
              <w:spacing w:line="360" w:lineRule="auto"/>
              <w:ind w:firstLine="0" w:firstLineChars="0"/>
              <w:jc w:val="left"/>
              <w:rPr>
                <w:rFonts w:hint="eastAsia"/>
                <w:sz w:val="24"/>
              </w:rPr>
            </w:pPr>
            <w:r>
              <w:rPr>
                <w:rFonts w:hint="eastAsia"/>
                <w:sz w:val="24"/>
              </w:rPr>
              <w:t>数据采集和处理</w:t>
            </w:r>
          </w:p>
        </w:tc>
        <w:tc>
          <w:tcPr>
            <w:tcW w:w="6032" w:type="dxa"/>
            <w:tcBorders>
              <w:top w:val="single" w:color="auto" w:sz="4" w:space="0"/>
              <w:left w:val="nil"/>
              <w:bottom w:val="single" w:color="auto" w:sz="4" w:space="0"/>
              <w:right w:val="single" w:color="auto" w:sz="4" w:space="0"/>
            </w:tcBorders>
            <w:noWrap w:val="0"/>
            <w:vAlign w:val="center"/>
          </w:tcPr>
          <w:p w14:paraId="16F4715A">
            <w:pPr>
              <w:pStyle w:val="16"/>
              <w:spacing w:line="360" w:lineRule="auto"/>
              <w:ind w:firstLine="0" w:firstLineChars="0"/>
              <w:jc w:val="left"/>
              <w:rPr>
                <w:rFonts w:hint="eastAsia"/>
                <w:sz w:val="24"/>
              </w:rPr>
            </w:pPr>
            <w:r>
              <w:rPr>
                <w:rFonts w:hint="eastAsia"/>
                <w:sz w:val="24"/>
              </w:rPr>
              <w:t>数据的来源与类型</w:t>
            </w:r>
          </w:p>
        </w:tc>
      </w:tr>
      <w:tr w14:paraId="1BFD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677B6205">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center"/>
          </w:tcPr>
          <w:p w14:paraId="19A47014">
            <w:pPr>
              <w:pStyle w:val="16"/>
              <w:spacing w:line="360" w:lineRule="auto"/>
              <w:ind w:firstLine="0" w:firstLineChars="0"/>
              <w:jc w:val="left"/>
              <w:rPr>
                <w:rFonts w:hint="eastAsia"/>
                <w:sz w:val="24"/>
              </w:rPr>
            </w:pPr>
            <w:r>
              <w:rPr>
                <w:rFonts w:hint="eastAsia"/>
                <w:sz w:val="24"/>
              </w:rPr>
              <w:t>数据采集的方法</w:t>
            </w:r>
          </w:p>
        </w:tc>
      </w:tr>
      <w:tr w14:paraId="4794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5285C24D">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center"/>
          </w:tcPr>
          <w:p w14:paraId="221E8322">
            <w:pPr>
              <w:pStyle w:val="16"/>
              <w:spacing w:line="360" w:lineRule="auto"/>
              <w:ind w:firstLine="0" w:firstLineChars="0"/>
              <w:jc w:val="left"/>
              <w:rPr>
                <w:rFonts w:hint="eastAsia"/>
                <w:sz w:val="24"/>
              </w:rPr>
            </w:pPr>
            <w:r>
              <w:rPr>
                <w:rFonts w:hint="eastAsia"/>
                <w:sz w:val="24"/>
              </w:rPr>
              <w:t>数据处理的概念与方法</w:t>
            </w:r>
          </w:p>
        </w:tc>
      </w:tr>
      <w:tr w14:paraId="7534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179C15C4">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center"/>
          </w:tcPr>
          <w:p w14:paraId="7C4E7CF1">
            <w:pPr>
              <w:pStyle w:val="16"/>
              <w:spacing w:line="360" w:lineRule="auto"/>
              <w:ind w:firstLine="0" w:firstLineChars="0"/>
              <w:jc w:val="left"/>
              <w:rPr>
                <w:rFonts w:hint="eastAsia"/>
                <w:sz w:val="24"/>
              </w:rPr>
            </w:pPr>
            <w:r>
              <w:rPr>
                <w:rFonts w:hint="eastAsia"/>
                <w:sz w:val="24"/>
              </w:rPr>
              <w:t>数据质量的评价准则</w:t>
            </w:r>
          </w:p>
        </w:tc>
      </w:tr>
      <w:tr w14:paraId="4D0C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8" w:type="dxa"/>
            <w:vMerge w:val="restart"/>
            <w:tcBorders>
              <w:top w:val="nil"/>
              <w:left w:val="single" w:color="auto" w:sz="4" w:space="0"/>
              <w:bottom w:val="single" w:color="auto" w:sz="4" w:space="0"/>
              <w:right w:val="single" w:color="auto" w:sz="4" w:space="0"/>
            </w:tcBorders>
            <w:noWrap w:val="0"/>
            <w:vAlign w:val="center"/>
          </w:tcPr>
          <w:p w14:paraId="0ACFEA3D">
            <w:pPr>
              <w:pStyle w:val="16"/>
              <w:spacing w:line="360" w:lineRule="auto"/>
              <w:ind w:firstLine="0" w:firstLineChars="0"/>
              <w:jc w:val="left"/>
              <w:rPr>
                <w:rFonts w:hint="eastAsia"/>
                <w:sz w:val="24"/>
              </w:rPr>
            </w:pPr>
            <w:r>
              <w:rPr>
                <w:rFonts w:hint="eastAsia"/>
                <w:sz w:val="24"/>
              </w:rPr>
              <w:t>数据归类和定义</w:t>
            </w:r>
          </w:p>
        </w:tc>
        <w:tc>
          <w:tcPr>
            <w:tcW w:w="6032" w:type="dxa"/>
            <w:tcBorders>
              <w:top w:val="single" w:color="auto" w:sz="4" w:space="0"/>
              <w:left w:val="nil"/>
              <w:bottom w:val="single" w:color="auto" w:sz="4" w:space="0"/>
              <w:right w:val="single" w:color="auto" w:sz="4" w:space="0"/>
            </w:tcBorders>
            <w:noWrap w:val="0"/>
            <w:vAlign w:val="center"/>
          </w:tcPr>
          <w:p w14:paraId="5A4CD816">
            <w:pPr>
              <w:pStyle w:val="16"/>
              <w:spacing w:line="360" w:lineRule="auto"/>
              <w:ind w:firstLine="0" w:firstLineChars="0"/>
              <w:jc w:val="left"/>
              <w:rPr>
                <w:rFonts w:hint="eastAsia"/>
                <w:sz w:val="24"/>
              </w:rPr>
            </w:pPr>
            <w:r>
              <w:rPr>
                <w:rFonts w:hint="eastAsia"/>
                <w:sz w:val="24"/>
              </w:rPr>
              <w:t>数据分析与可视化方法</w:t>
            </w:r>
          </w:p>
        </w:tc>
      </w:tr>
      <w:tr w14:paraId="2B43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3888C521">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center"/>
          </w:tcPr>
          <w:p w14:paraId="1FF78C23">
            <w:pPr>
              <w:pStyle w:val="16"/>
              <w:spacing w:line="360" w:lineRule="auto"/>
              <w:ind w:firstLine="0" w:firstLineChars="0"/>
              <w:jc w:val="left"/>
              <w:rPr>
                <w:rFonts w:hint="eastAsia"/>
                <w:sz w:val="24"/>
              </w:rPr>
            </w:pPr>
            <w:r>
              <w:rPr>
                <w:rFonts w:hint="eastAsia"/>
                <w:sz w:val="24"/>
              </w:rPr>
              <w:t>数据存储格式</w:t>
            </w:r>
          </w:p>
        </w:tc>
      </w:tr>
      <w:tr w14:paraId="13B4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398FAE6D">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center"/>
          </w:tcPr>
          <w:p w14:paraId="3AC18FED">
            <w:pPr>
              <w:pStyle w:val="16"/>
              <w:spacing w:line="360" w:lineRule="auto"/>
              <w:ind w:firstLine="0" w:firstLineChars="0"/>
              <w:jc w:val="left"/>
              <w:rPr>
                <w:rFonts w:hint="eastAsia"/>
                <w:sz w:val="24"/>
              </w:rPr>
            </w:pPr>
            <w:r>
              <w:rPr>
                <w:rFonts w:hint="eastAsia"/>
                <w:sz w:val="24"/>
              </w:rPr>
              <w:t>数据加载方法</w:t>
            </w:r>
          </w:p>
        </w:tc>
      </w:tr>
      <w:tr w14:paraId="03E0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8" w:type="dxa"/>
            <w:vMerge w:val="restart"/>
            <w:tcBorders>
              <w:top w:val="nil"/>
              <w:left w:val="single" w:color="auto" w:sz="4" w:space="0"/>
              <w:bottom w:val="single" w:color="auto" w:sz="4" w:space="0"/>
              <w:right w:val="single" w:color="auto" w:sz="4" w:space="0"/>
            </w:tcBorders>
            <w:noWrap w:val="0"/>
            <w:vAlign w:val="center"/>
          </w:tcPr>
          <w:p w14:paraId="3A7BBCF7">
            <w:pPr>
              <w:pStyle w:val="16"/>
              <w:spacing w:line="360" w:lineRule="auto"/>
              <w:ind w:firstLine="0" w:firstLineChars="0"/>
              <w:jc w:val="left"/>
              <w:rPr>
                <w:rFonts w:hint="eastAsia"/>
                <w:sz w:val="24"/>
              </w:rPr>
            </w:pPr>
            <w:r>
              <w:rPr>
                <w:rFonts w:hint="eastAsia"/>
                <w:sz w:val="24"/>
              </w:rPr>
              <w:t>数据标注审核</w:t>
            </w:r>
          </w:p>
        </w:tc>
        <w:tc>
          <w:tcPr>
            <w:tcW w:w="6032" w:type="dxa"/>
            <w:tcBorders>
              <w:top w:val="single" w:color="auto" w:sz="4" w:space="0"/>
              <w:left w:val="nil"/>
              <w:bottom w:val="single" w:color="auto" w:sz="4" w:space="0"/>
              <w:right w:val="single" w:color="auto" w:sz="4" w:space="0"/>
            </w:tcBorders>
            <w:noWrap w:val="0"/>
            <w:vAlign w:val="center"/>
          </w:tcPr>
          <w:p w14:paraId="756B9B22">
            <w:pPr>
              <w:pStyle w:val="16"/>
              <w:spacing w:line="360" w:lineRule="auto"/>
              <w:ind w:firstLine="0" w:firstLineChars="0"/>
              <w:jc w:val="left"/>
              <w:rPr>
                <w:rFonts w:hint="eastAsia"/>
                <w:sz w:val="24"/>
              </w:rPr>
            </w:pPr>
            <w:r>
              <w:rPr>
                <w:rFonts w:hint="eastAsia"/>
                <w:sz w:val="24"/>
              </w:rPr>
              <w:t>数据标注的通用规则</w:t>
            </w:r>
          </w:p>
        </w:tc>
      </w:tr>
      <w:tr w14:paraId="13F8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62E5B9B2">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center"/>
          </w:tcPr>
          <w:p w14:paraId="2E43BAEE">
            <w:pPr>
              <w:pStyle w:val="16"/>
              <w:spacing w:line="360" w:lineRule="auto"/>
              <w:ind w:firstLine="0" w:firstLineChars="0"/>
              <w:jc w:val="left"/>
              <w:rPr>
                <w:rFonts w:hint="eastAsia"/>
                <w:sz w:val="24"/>
              </w:rPr>
            </w:pPr>
            <w:r>
              <w:rPr>
                <w:rFonts w:hint="eastAsia"/>
                <w:sz w:val="24"/>
              </w:rPr>
              <w:t>数据标注的类型</w:t>
            </w:r>
          </w:p>
        </w:tc>
      </w:tr>
      <w:tr w14:paraId="3041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1A54B8ED">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center"/>
          </w:tcPr>
          <w:p w14:paraId="40C2319B">
            <w:pPr>
              <w:pStyle w:val="16"/>
              <w:spacing w:line="360" w:lineRule="auto"/>
              <w:ind w:firstLine="0" w:firstLineChars="0"/>
              <w:jc w:val="left"/>
              <w:rPr>
                <w:rFonts w:hint="eastAsia"/>
                <w:sz w:val="24"/>
              </w:rPr>
            </w:pPr>
            <w:r>
              <w:rPr>
                <w:rFonts w:hint="eastAsia"/>
                <w:sz w:val="24"/>
              </w:rPr>
              <w:t>数据标注的方法</w:t>
            </w:r>
          </w:p>
        </w:tc>
      </w:tr>
      <w:tr w14:paraId="2889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49FBCAF0">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center"/>
          </w:tcPr>
          <w:p w14:paraId="0481E613">
            <w:pPr>
              <w:pStyle w:val="16"/>
              <w:spacing w:line="360" w:lineRule="auto"/>
              <w:ind w:firstLine="0" w:firstLineChars="0"/>
              <w:jc w:val="left"/>
              <w:rPr>
                <w:rFonts w:hint="eastAsia"/>
                <w:sz w:val="24"/>
              </w:rPr>
            </w:pPr>
            <w:r>
              <w:rPr>
                <w:rFonts w:hint="eastAsia"/>
                <w:sz w:val="24"/>
              </w:rPr>
              <w:t>常见的数据标注工具</w:t>
            </w:r>
          </w:p>
        </w:tc>
      </w:tr>
      <w:tr w14:paraId="0CA1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8" w:type="dxa"/>
            <w:vMerge w:val="restart"/>
            <w:tcBorders>
              <w:top w:val="nil"/>
              <w:left w:val="single" w:color="auto" w:sz="4" w:space="0"/>
              <w:bottom w:val="single" w:color="auto" w:sz="4" w:space="0"/>
              <w:right w:val="single" w:color="auto" w:sz="4" w:space="0"/>
            </w:tcBorders>
            <w:noWrap w:val="0"/>
            <w:vAlign w:val="center"/>
          </w:tcPr>
          <w:p w14:paraId="54BC0F26">
            <w:pPr>
              <w:pStyle w:val="16"/>
              <w:spacing w:line="360" w:lineRule="auto"/>
              <w:ind w:firstLine="0" w:firstLineChars="0"/>
              <w:jc w:val="left"/>
              <w:rPr>
                <w:rFonts w:hint="eastAsia"/>
                <w:sz w:val="24"/>
              </w:rPr>
            </w:pPr>
            <w:r>
              <w:rPr>
                <w:rFonts w:hint="eastAsia"/>
                <w:sz w:val="24"/>
              </w:rPr>
              <w:t>模型训练与应用</w:t>
            </w:r>
          </w:p>
        </w:tc>
        <w:tc>
          <w:tcPr>
            <w:tcW w:w="6032" w:type="dxa"/>
            <w:tcBorders>
              <w:top w:val="single" w:color="auto" w:sz="4" w:space="0"/>
              <w:left w:val="nil"/>
              <w:bottom w:val="single" w:color="auto" w:sz="4" w:space="0"/>
              <w:right w:val="single" w:color="auto" w:sz="4" w:space="0"/>
            </w:tcBorders>
            <w:noWrap w:val="0"/>
            <w:vAlign w:val="center"/>
          </w:tcPr>
          <w:p w14:paraId="51BAD3C5">
            <w:pPr>
              <w:pStyle w:val="16"/>
              <w:spacing w:line="360" w:lineRule="auto"/>
              <w:ind w:firstLine="0" w:firstLineChars="0"/>
              <w:jc w:val="left"/>
              <w:rPr>
                <w:rFonts w:hint="eastAsia"/>
                <w:sz w:val="24"/>
              </w:rPr>
            </w:pPr>
            <w:r>
              <w:rPr>
                <w:rFonts w:hint="eastAsia"/>
                <w:sz w:val="24"/>
              </w:rPr>
              <w:t>人工智能模型的搭建方法</w:t>
            </w:r>
          </w:p>
        </w:tc>
      </w:tr>
      <w:tr w14:paraId="162A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2300E107">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top"/>
          </w:tcPr>
          <w:p w14:paraId="3CB6B656">
            <w:pPr>
              <w:pStyle w:val="16"/>
              <w:spacing w:line="360" w:lineRule="auto"/>
              <w:ind w:firstLine="0" w:firstLineChars="0"/>
              <w:jc w:val="left"/>
              <w:rPr>
                <w:rFonts w:hint="eastAsia"/>
                <w:sz w:val="24"/>
              </w:rPr>
            </w:pPr>
            <w:r>
              <w:rPr>
                <w:rFonts w:hint="eastAsia"/>
                <w:sz w:val="24"/>
              </w:rPr>
              <w:t>人工智能模型的训练方法</w:t>
            </w:r>
          </w:p>
        </w:tc>
      </w:tr>
      <w:tr w14:paraId="4FAF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56F9B8C2">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top"/>
          </w:tcPr>
          <w:p w14:paraId="627EA0DA">
            <w:pPr>
              <w:pStyle w:val="16"/>
              <w:spacing w:line="360" w:lineRule="auto"/>
              <w:ind w:firstLine="0" w:firstLineChars="0"/>
              <w:jc w:val="left"/>
              <w:rPr>
                <w:rFonts w:hint="eastAsia"/>
                <w:sz w:val="24"/>
              </w:rPr>
            </w:pPr>
            <w:r>
              <w:rPr>
                <w:rFonts w:hint="eastAsia"/>
                <w:sz w:val="24"/>
              </w:rPr>
              <w:t>人工智能模型质量评估</w:t>
            </w:r>
          </w:p>
        </w:tc>
      </w:tr>
      <w:tr w14:paraId="22BC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145C8154">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top"/>
          </w:tcPr>
          <w:p w14:paraId="7585B7C8">
            <w:pPr>
              <w:pStyle w:val="16"/>
              <w:spacing w:line="360" w:lineRule="auto"/>
              <w:ind w:firstLine="0" w:firstLineChars="0"/>
              <w:jc w:val="left"/>
              <w:rPr>
                <w:rFonts w:hint="eastAsia"/>
                <w:sz w:val="24"/>
              </w:rPr>
            </w:pPr>
            <w:r>
              <w:rPr>
                <w:rFonts w:hint="eastAsia"/>
                <w:sz w:val="24"/>
              </w:rPr>
              <w:t>模型应用测试</w:t>
            </w:r>
          </w:p>
        </w:tc>
      </w:tr>
      <w:tr w14:paraId="0B85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8" w:type="dxa"/>
            <w:vMerge w:val="continue"/>
            <w:tcBorders>
              <w:top w:val="nil"/>
              <w:left w:val="single" w:color="auto" w:sz="4" w:space="0"/>
              <w:bottom w:val="single" w:color="auto" w:sz="4" w:space="0"/>
              <w:right w:val="single" w:color="auto" w:sz="4" w:space="0"/>
            </w:tcBorders>
            <w:noWrap w:val="0"/>
            <w:vAlign w:val="center"/>
          </w:tcPr>
          <w:p w14:paraId="5BD74853">
            <w:pPr>
              <w:pStyle w:val="16"/>
              <w:spacing w:line="360" w:lineRule="auto"/>
              <w:ind w:firstLine="0" w:firstLineChars="0"/>
              <w:jc w:val="left"/>
              <w:rPr>
                <w:rFonts w:hint="eastAsia"/>
                <w:sz w:val="24"/>
              </w:rPr>
            </w:pPr>
          </w:p>
        </w:tc>
        <w:tc>
          <w:tcPr>
            <w:tcW w:w="6032" w:type="dxa"/>
            <w:tcBorders>
              <w:top w:val="single" w:color="auto" w:sz="4" w:space="0"/>
              <w:left w:val="nil"/>
              <w:bottom w:val="single" w:color="auto" w:sz="4" w:space="0"/>
              <w:right w:val="single" w:color="auto" w:sz="4" w:space="0"/>
            </w:tcBorders>
            <w:noWrap w:val="0"/>
            <w:vAlign w:val="top"/>
          </w:tcPr>
          <w:p w14:paraId="25B40C1C">
            <w:pPr>
              <w:pStyle w:val="16"/>
              <w:spacing w:line="360" w:lineRule="auto"/>
              <w:ind w:firstLine="0" w:firstLineChars="0"/>
              <w:jc w:val="left"/>
              <w:rPr>
                <w:rFonts w:hint="eastAsia"/>
                <w:sz w:val="24"/>
              </w:rPr>
            </w:pPr>
            <w:r>
              <w:rPr>
                <w:rFonts w:hint="eastAsia"/>
                <w:sz w:val="24"/>
              </w:rPr>
              <w:t>模型推理测试与问题处理</w:t>
            </w:r>
          </w:p>
        </w:tc>
      </w:tr>
    </w:tbl>
    <w:p w14:paraId="6F68E8F7">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szCs w:val="32"/>
        </w:rPr>
        <w:t>2. 实操考核竞赛（满分：100 分）</w:t>
      </w:r>
    </w:p>
    <w:p w14:paraId="4C4E52EE">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rFonts w:hint="eastAsia"/>
          <w:szCs w:val="32"/>
          <w:lang w:val="en-US" w:eastAsia="zh-CN"/>
        </w:rPr>
        <w:t>考核内容：</w:t>
      </w:r>
    </w:p>
    <w:p w14:paraId="4349964B">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本赛项实操考核内容为模拟行业人工智能技术开发与应用的整个流程，考察参赛选手对数据的处理、算法模型的应用熟练程度。</w:t>
      </w:r>
      <w:r>
        <w:rPr>
          <w:szCs w:val="32"/>
        </w:rPr>
        <w:t>比赛时间</w:t>
      </w:r>
      <w:r>
        <w:rPr>
          <w:rFonts w:hint="eastAsia"/>
          <w:szCs w:val="32"/>
        </w:rPr>
        <w:t>为120分钟，共分为4个模块，共100分。</w:t>
      </w:r>
    </w:p>
    <w:p w14:paraId="12739529">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模块A：人工智能应用数据集制作</w:t>
      </w:r>
    </w:p>
    <w:p w14:paraId="4DF262A9">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考察</w:t>
      </w:r>
      <w:r>
        <w:rPr>
          <w:rFonts w:hint="eastAsia" w:cs="Times New Roman"/>
          <w:szCs w:val="32"/>
        </w:rPr>
        <w:t>人工智能</w:t>
      </w:r>
      <w:r>
        <w:rPr>
          <w:rFonts w:hint="eastAsia"/>
          <w:szCs w:val="32"/>
        </w:rPr>
        <w:t>数据制作得全过程，分为四个步骤：平台配置与测试、数据采集与处理、数据标注、数据集划分，具体如下：</w:t>
      </w:r>
    </w:p>
    <w:p w14:paraId="427FBD4E">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rFonts w:hint="eastAsia"/>
          <w:szCs w:val="32"/>
        </w:rPr>
        <w:t>步骤一：平台配置与测试，参赛选手根据任务书要求，对比赛平台进行相关配置与测试，能够按照要求将指定功能进行演示；</w:t>
      </w:r>
    </w:p>
    <w:p w14:paraId="591F31B8">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rFonts w:hint="eastAsia"/>
          <w:szCs w:val="32"/>
        </w:rPr>
        <w:t>步骤二：数据采集，参赛选手根据任务书要求，使用竞赛平台提供的</w:t>
      </w:r>
      <w:r>
        <w:rPr>
          <w:rFonts w:hint="eastAsia" w:cs="Times New Roman"/>
          <w:szCs w:val="32"/>
        </w:rPr>
        <w:t>数据</w:t>
      </w:r>
      <w:r>
        <w:rPr>
          <w:rFonts w:hint="eastAsia"/>
          <w:szCs w:val="32"/>
        </w:rPr>
        <w:t>采集功能采集要求的数据集，并对采集到的数据完成数据清洗和可视化任务；</w:t>
      </w:r>
    </w:p>
    <w:p w14:paraId="66480A54">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步骤三：数据标注，参赛选手根据任务书要求，对预处理好后的数据集使用竞赛平台提供的标注工具按照要求进行数据标注；</w:t>
      </w:r>
    </w:p>
    <w:p w14:paraId="0AE05AED">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rFonts w:hint="eastAsia"/>
          <w:szCs w:val="32"/>
        </w:rPr>
        <w:t>步骤四：数据集划分，将步骤三导出的数据集按照要求进行数据集划分，将数据集划分为训练集、验证集、测试集。</w:t>
      </w:r>
    </w:p>
    <w:p w14:paraId="20D610B5">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模块B：人工智能应用模型训练</w:t>
      </w:r>
    </w:p>
    <w:p w14:paraId="404A492A">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000000"/>
          <w:kern w:val="0"/>
          <w:sz w:val="28"/>
          <w:szCs w:val="28"/>
          <w:lang w:bidi="ar"/>
        </w:rPr>
      </w:pPr>
      <w:r>
        <w:rPr>
          <w:rFonts w:hint="eastAsia"/>
          <w:szCs w:val="32"/>
        </w:rPr>
        <w:t>考察以图像</w:t>
      </w:r>
      <w:r>
        <w:rPr>
          <w:rFonts w:hint="eastAsia" w:cs="Times New Roman"/>
          <w:szCs w:val="32"/>
        </w:rPr>
        <w:t>分类</w:t>
      </w:r>
      <w:r>
        <w:rPr>
          <w:rFonts w:hint="eastAsia"/>
          <w:szCs w:val="32"/>
        </w:rPr>
        <w:t>、目标检测技术为主的图像类深度学习算法训练，主要分为三个步骤：</w:t>
      </w:r>
    </w:p>
    <w:p w14:paraId="1B33EBAB">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步骤一：模型训练。参赛选手根据任务书要求，将制作好的数据集进行</w:t>
      </w:r>
      <w:r>
        <w:rPr>
          <w:rFonts w:hint="eastAsia" w:cs="Times New Roman"/>
          <w:szCs w:val="32"/>
        </w:rPr>
        <w:t>配置</w:t>
      </w:r>
      <w:r>
        <w:rPr>
          <w:rFonts w:hint="eastAsia"/>
          <w:szCs w:val="32"/>
        </w:rPr>
        <w:t>，包括标签文件配置和训练、测试数据配置等，作为模型训练的数据集。并根据数据集情况对模型进行正确配置，最终能够正确开始模型训练；</w:t>
      </w:r>
    </w:p>
    <w:p w14:paraId="12F9EF73">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rFonts w:hint="eastAsia"/>
          <w:szCs w:val="32"/>
        </w:rPr>
        <w:t>步骤二：模型验证。参赛选手根据任务书要求，利用步骤一训练好的模型进行模型验证，包括多种格式数据的验证和模型评估指标的展示。如有需要，可进行算法调优调参。模型可以在一批未标注的的测试集上进行推理；</w:t>
      </w:r>
    </w:p>
    <w:p w14:paraId="0E18B1FA">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步骤三：任务工单填写。参赛选手根据任务书要求，对模块B的模型</w:t>
      </w:r>
      <w:r>
        <w:rPr>
          <w:rFonts w:hint="eastAsia" w:cs="Times New Roman"/>
          <w:szCs w:val="32"/>
        </w:rPr>
        <w:t>信息</w:t>
      </w:r>
      <w:r>
        <w:rPr>
          <w:rFonts w:hint="eastAsia"/>
          <w:szCs w:val="32"/>
        </w:rPr>
        <w:t>进行总结和填写。</w:t>
      </w:r>
    </w:p>
    <w:p w14:paraId="51F0CAFA">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模块C：智能自动驾驶场景综合应用</w:t>
      </w:r>
    </w:p>
    <w:p w14:paraId="5D89BCE7">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考察模型部署以及在自动驾驶场景中进行调试的能力，主要分为两个步骤：</w:t>
      </w:r>
    </w:p>
    <w:p w14:paraId="4B45FD80">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步骤一：</w:t>
      </w:r>
      <w:r>
        <w:rPr>
          <w:rFonts w:hint="eastAsia" w:cs="Times New Roman"/>
          <w:szCs w:val="32"/>
        </w:rPr>
        <w:t>模型</w:t>
      </w:r>
      <w:r>
        <w:rPr>
          <w:rFonts w:hint="eastAsia"/>
          <w:szCs w:val="32"/>
        </w:rPr>
        <w:t>部署验证，参赛选手将训练好的模型部署到指定的平台中，并使用平台进行实际测试；</w:t>
      </w:r>
    </w:p>
    <w:p w14:paraId="4007D71F">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步骤二：基于真实道路的综合测试，参赛选手根据任务要求正确完成检测和自动驾驶功能。</w:t>
      </w:r>
    </w:p>
    <w:p w14:paraId="5DF83037">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highlight w:val="yellow"/>
        </w:rPr>
      </w:pPr>
      <w:r>
        <w:rPr>
          <w:rFonts w:hint="eastAsia"/>
          <w:szCs w:val="32"/>
        </w:rPr>
        <w:t>模块D：安全意识与职业素养</w:t>
      </w:r>
    </w:p>
    <w:p w14:paraId="6F34A97D">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highlight w:val="yellow"/>
        </w:rPr>
      </w:pPr>
      <w:r>
        <w:rPr>
          <w:sz w:val="32"/>
          <w:szCs w:val="32"/>
        </w:rPr>
        <w:t>比赛时间：</w:t>
      </w:r>
      <w:r>
        <w:rPr>
          <w:rFonts w:hint="eastAsia" w:cs="Times New Roman"/>
          <w:szCs w:val="32"/>
          <w:lang w:val="en-US" w:eastAsia="zh-CN"/>
        </w:rPr>
        <w:t>120</w:t>
      </w:r>
      <w:r>
        <w:rPr>
          <w:sz w:val="32"/>
          <w:szCs w:val="32"/>
        </w:rPr>
        <w:t>分钟。</w:t>
      </w:r>
    </w:p>
    <w:p w14:paraId="3848538F">
      <w:pPr>
        <w:pStyle w:val="16"/>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outlineLvl w:val="0"/>
        <w:rPr>
          <w:rFonts w:ascii="Times New Roman" w:hAnsi="Times New Roman" w:eastAsia="黑体" w:cs="Times New Roman"/>
          <w:bCs/>
          <w:szCs w:val="32"/>
        </w:rPr>
      </w:pPr>
      <w:bookmarkStart w:id="11" w:name="_Toc17787"/>
      <w:r>
        <w:rPr>
          <w:rFonts w:ascii="Times New Roman" w:hAnsi="Times New Roman" w:eastAsia="黑体" w:cs="Times New Roman"/>
          <w:bCs/>
          <w:szCs w:val="32"/>
        </w:rPr>
        <w:t>三、</w:t>
      </w:r>
      <w:r>
        <w:rPr>
          <w:rFonts w:hint="eastAsia" w:ascii="Times New Roman" w:hAnsi="Times New Roman" w:eastAsia="黑体" w:cs="Times New Roman"/>
          <w:bCs/>
          <w:szCs w:val="32"/>
          <w:lang w:val="en-US" w:eastAsia="zh-CN"/>
        </w:rPr>
        <w:t>决赛</w:t>
      </w:r>
      <w:r>
        <w:rPr>
          <w:rFonts w:ascii="Times New Roman" w:hAnsi="Times New Roman" w:eastAsia="黑体" w:cs="Times New Roman"/>
          <w:bCs/>
          <w:szCs w:val="32"/>
        </w:rPr>
        <w:t>评判标准</w:t>
      </w:r>
      <w:bookmarkEnd w:id="11"/>
    </w:p>
    <w:p w14:paraId="658CB7A0">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楷体_GB2312" w:cs="Times New Roman"/>
          <w:szCs w:val="32"/>
        </w:rPr>
      </w:pPr>
      <w:bookmarkStart w:id="12" w:name="_Toc15028"/>
      <w:bookmarkStart w:id="13" w:name="_Toc6807_WPSOffice_Level1"/>
      <w:r>
        <w:rPr>
          <w:rFonts w:hint="eastAsia" w:ascii="Times New Roman" w:hAnsi="Times New Roman" w:eastAsia="楷体_GB2312" w:cs="Times New Roman"/>
          <w:szCs w:val="32"/>
        </w:rPr>
        <w:t>（一）</w:t>
      </w:r>
      <w:r>
        <w:rPr>
          <w:rFonts w:ascii="Times New Roman" w:hAnsi="Times New Roman" w:eastAsia="楷体_GB2312" w:cs="Times New Roman"/>
          <w:szCs w:val="32"/>
        </w:rPr>
        <w:t>分数权重</w:t>
      </w:r>
      <w:bookmarkEnd w:id="12"/>
    </w:p>
    <w:p w14:paraId="3A91343A">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rFonts w:hint="eastAsia" w:ascii="Times New Roman" w:hAnsi="Times New Roman"/>
          <w:szCs w:val="32"/>
        </w:rPr>
        <w:t>各项竞赛模块及分值权重见下表。</w:t>
      </w:r>
    </w:p>
    <w:p w14:paraId="135AF3EF">
      <w:pPr>
        <w:pStyle w:val="16"/>
        <w:spacing w:line="360" w:lineRule="auto"/>
        <w:ind w:firstLine="0" w:firstLineChars="0"/>
        <w:jc w:val="center"/>
        <w:rPr>
          <w:b/>
          <w:szCs w:val="32"/>
        </w:rPr>
      </w:pPr>
      <w:r>
        <w:rPr>
          <w:b/>
          <w:szCs w:val="32"/>
        </w:rPr>
        <w:t>实操考核竞赛模块配分表</w:t>
      </w:r>
    </w:p>
    <w:tbl>
      <w:tblPr>
        <w:tblStyle w:val="12"/>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4"/>
        <w:gridCol w:w="1707"/>
        <w:gridCol w:w="1320"/>
        <w:gridCol w:w="1428"/>
      </w:tblGrid>
      <w:tr w14:paraId="43C0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324" w:type="dxa"/>
            <w:noWrap w:val="0"/>
            <w:vAlign w:val="center"/>
          </w:tcPr>
          <w:p w14:paraId="6485C89F">
            <w:pPr>
              <w:pStyle w:val="11"/>
              <w:ind w:firstLine="0" w:firstLineChars="0"/>
              <w:jc w:val="center"/>
              <w:rPr>
                <w:rFonts w:hint="eastAsia" w:ascii="Times New Roman" w:hAnsi="Times New Roman"/>
                <w:b/>
                <w:bCs/>
                <w:sz w:val="24"/>
              </w:rPr>
            </w:pPr>
            <w:r>
              <w:rPr>
                <w:rFonts w:hint="eastAsia" w:ascii="Times New Roman" w:hAnsi="Times New Roman"/>
                <w:b/>
                <w:bCs/>
                <w:sz w:val="24"/>
              </w:rPr>
              <w:t>考核模块</w:t>
            </w:r>
          </w:p>
        </w:tc>
        <w:tc>
          <w:tcPr>
            <w:tcW w:w="1707" w:type="dxa"/>
            <w:noWrap w:val="0"/>
            <w:vAlign w:val="center"/>
          </w:tcPr>
          <w:p w14:paraId="2C3DA403">
            <w:pPr>
              <w:pStyle w:val="11"/>
              <w:ind w:firstLine="0" w:firstLineChars="0"/>
              <w:jc w:val="center"/>
              <w:rPr>
                <w:rFonts w:hint="eastAsia" w:ascii="Times New Roman" w:hAnsi="Times New Roman"/>
                <w:b/>
                <w:bCs/>
                <w:sz w:val="24"/>
              </w:rPr>
            </w:pPr>
            <w:r>
              <w:rPr>
                <w:rFonts w:hint="eastAsia" w:ascii="Times New Roman" w:hAnsi="Times New Roman"/>
                <w:b/>
                <w:bCs/>
                <w:sz w:val="24"/>
              </w:rPr>
              <w:t>竞赛时间</w:t>
            </w:r>
          </w:p>
        </w:tc>
        <w:tc>
          <w:tcPr>
            <w:tcW w:w="1320" w:type="dxa"/>
            <w:noWrap w:val="0"/>
            <w:vAlign w:val="center"/>
          </w:tcPr>
          <w:p w14:paraId="4D318153">
            <w:pPr>
              <w:pStyle w:val="11"/>
              <w:ind w:firstLine="0" w:firstLineChars="0"/>
              <w:jc w:val="center"/>
              <w:rPr>
                <w:rFonts w:hint="eastAsia" w:ascii="Times New Roman" w:hAnsi="Times New Roman"/>
                <w:b/>
                <w:bCs/>
                <w:sz w:val="24"/>
              </w:rPr>
            </w:pPr>
            <w:r>
              <w:rPr>
                <w:rFonts w:hint="eastAsia" w:ascii="Times New Roman" w:hAnsi="Times New Roman"/>
                <w:b/>
                <w:bCs/>
                <w:sz w:val="24"/>
              </w:rPr>
              <w:t>分值</w:t>
            </w:r>
          </w:p>
        </w:tc>
        <w:tc>
          <w:tcPr>
            <w:tcW w:w="1428" w:type="dxa"/>
            <w:noWrap w:val="0"/>
            <w:vAlign w:val="center"/>
          </w:tcPr>
          <w:p w14:paraId="325ED453">
            <w:pPr>
              <w:pStyle w:val="11"/>
              <w:ind w:firstLine="0" w:firstLineChars="0"/>
              <w:jc w:val="center"/>
              <w:rPr>
                <w:rFonts w:hint="eastAsia" w:ascii="Times New Roman" w:hAnsi="Times New Roman"/>
                <w:b/>
                <w:bCs/>
                <w:sz w:val="24"/>
              </w:rPr>
            </w:pPr>
            <w:r>
              <w:rPr>
                <w:rFonts w:hint="eastAsia" w:ascii="Times New Roman" w:hAnsi="Times New Roman"/>
                <w:b/>
                <w:bCs/>
                <w:sz w:val="24"/>
              </w:rPr>
              <w:t>权重</w:t>
            </w:r>
          </w:p>
        </w:tc>
      </w:tr>
      <w:tr w14:paraId="6979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324" w:type="dxa"/>
            <w:noWrap w:val="0"/>
            <w:vAlign w:val="center"/>
          </w:tcPr>
          <w:p w14:paraId="6036B277">
            <w:pPr>
              <w:pStyle w:val="11"/>
              <w:ind w:firstLine="0" w:firstLineChars="0"/>
              <w:jc w:val="both"/>
              <w:rPr>
                <w:rFonts w:hint="eastAsia" w:ascii="Times New Roman" w:hAnsi="Times New Roman"/>
                <w:sz w:val="24"/>
              </w:rPr>
            </w:pPr>
            <w:r>
              <w:rPr>
                <w:rFonts w:hint="eastAsia" w:ascii="Times New Roman" w:hAnsi="Times New Roman"/>
                <w:sz w:val="24"/>
              </w:rPr>
              <w:t>模块A：人工智能应用数据集制作</w:t>
            </w:r>
          </w:p>
        </w:tc>
        <w:tc>
          <w:tcPr>
            <w:tcW w:w="1707" w:type="dxa"/>
            <w:noWrap w:val="0"/>
            <w:vAlign w:val="center"/>
          </w:tcPr>
          <w:p w14:paraId="40A552BF">
            <w:pPr>
              <w:pStyle w:val="11"/>
              <w:ind w:firstLine="0" w:firstLineChars="0"/>
              <w:jc w:val="center"/>
              <w:rPr>
                <w:rFonts w:hint="eastAsia" w:ascii="Times New Roman" w:hAnsi="Times New Roman"/>
                <w:sz w:val="24"/>
              </w:rPr>
            </w:pPr>
            <w:r>
              <w:rPr>
                <w:rFonts w:hint="eastAsia" w:ascii="Times New Roman" w:hAnsi="Times New Roman"/>
                <w:sz w:val="24"/>
              </w:rPr>
              <w:t>全过程</w:t>
            </w:r>
          </w:p>
        </w:tc>
        <w:tc>
          <w:tcPr>
            <w:tcW w:w="1320" w:type="dxa"/>
            <w:noWrap w:val="0"/>
            <w:vAlign w:val="center"/>
          </w:tcPr>
          <w:p w14:paraId="1260FB68">
            <w:pPr>
              <w:pStyle w:val="11"/>
              <w:ind w:firstLine="0" w:firstLineChars="0"/>
              <w:jc w:val="center"/>
              <w:rPr>
                <w:rFonts w:hint="eastAsia" w:ascii="Times New Roman" w:hAnsi="Times New Roman"/>
                <w:sz w:val="24"/>
              </w:rPr>
            </w:pPr>
            <w:r>
              <w:rPr>
                <w:rFonts w:hint="eastAsia" w:ascii="Times New Roman" w:hAnsi="Times New Roman"/>
                <w:sz w:val="24"/>
              </w:rPr>
              <w:t>35分</w:t>
            </w:r>
          </w:p>
        </w:tc>
        <w:tc>
          <w:tcPr>
            <w:tcW w:w="1428" w:type="dxa"/>
            <w:noWrap w:val="0"/>
            <w:vAlign w:val="center"/>
          </w:tcPr>
          <w:p w14:paraId="5E2043E2">
            <w:pPr>
              <w:pStyle w:val="11"/>
              <w:ind w:firstLine="0" w:firstLineChars="0"/>
              <w:jc w:val="center"/>
              <w:rPr>
                <w:rFonts w:hint="eastAsia" w:ascii="Times New Roman" w:hAnsi="Times New Roman"/>
                <w:sz w:val="24"/>
              </w:rPr>
            </w:pPr>
            <w:r>
              <w:rPr>
                <w:rFonts w:hint="eastAsia" w:ascii="Times New Roman" w:hAnsi="Times New Roman"/>
                <w:sz w:val="24"/>
              </w:rPr>
              <w:t>35%</w:t>
            </w:r>
          </w:p>
        </w:tc>
      </w:tr>
      <w:tr w14:paraId="5D56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324" w:type="dxa"/>
            <w:noWrap w:val="0"/>
            <w:vAlign w:val="center"/>
          </w:tcPr>
          <w:p w14:paraId="2F015A26">
            <w:pPr>
              <w:pStyle w:val="11"/>
              <w:ind w:firstLine="0" w:firstLineChars="0"/>
              <w:jc w:val="both"/>
              <w:rPr>
                <w:rFonts w:hint="eastAsia" w:ascii="Times New Roman" w:hAnsi="Times New Roman"/>
                <w:sz w:val="24"/>
              </w:rPr>
            </w:pPr>
            <w:r>
              <w:rPr>
                <w:rFonts w:hint="eastAsia" w:ascii="Times New Roman" w:hAnsi="Times New Roman"/>
                <w:sz w:val="24"/>
              </w:rPr>
              <w:t>模块B：人工智能应用模型训练</w:t>
            </w:r>
          </w:p>
        </w:tc>
        <w:tc>
          <w:tcPr>
            <w:tcW w:w="1707" w:type="dxa"/>
            <w:noWrap w:val="0"/>
            <w:vAlign w:val="center"/>
          </w:tcPr>
          <w:p w14:paraId="7BD81D1C">
            <w:pPr>
              <w:pStyle w:val="11"/>
              <w:ind w:firstLine="0" w:firstLineChars="0"/>
              <w:jc w:val="center"/>
              <w:rPr>
                <w:rFonts w:hint="eastAsia" w:ascii="Times New Roman" w:hAnsi="Times New Roman"/>
                <w:sz w:val="24"/>
              </w:rPr>
            </w:pPr>
            <w:r>
              <w:rPr>
                <w:rFonts w:hint="eastAsia" w:ascii="Times New Roman" w:hAnsi="Times New Roman"/>
                <w:sz w:val="24"/>
              </w:rPr>
              <w:t>全过程</w:t>
            </w:r>
          </w:p>
        </w:tc>
        <w:tc>
          <w:tcPr>
            <w:tcW w:w="1320" w:type="dxa"/>
            <w:noWrap w:val="0"/>
            <w:vAlign w:val="center"/>
          </w:tcPr>
          <w:p w14:paraId="6DA7F708">
            <w:pPr>
              <w:pStyle w:val="11"/>
              <w:ind w:firstLine="0" w:firstLineChars="0"/>
              <w:jc w:val="center"/>
              <w:rPr>
                <w:rFonts w:hint="eastAsia" w:ascii="Times New Roman" w:hAnsi="Times New Roman"/>
                <w:sz w:val="24"/>
              </w:rPr>
            </w:pPr>
            <w:r>
              <w:rPr>
                <w:rFonts w:hint="eastAsia" w:ascii="Times New Roman" w:hAnsi="Times New Roman"/>
                <w:sz w:val="24"/>
              </w:rPr>
              <w:t>25分</w:t>
            </w:r>
          </w:p>
        </w:tc>
        <w:tc>
          <w:tcPr>
            <w:tcW w:w="1428" w:type="dxa"/>
            <w:noWrap w:val="0"/>
            <w:vAlign w:val="center"/>
          </w:tcPr>
          <w:p w14:paraId="2689442D">
            <w:pPr>
              <w:pStyle w:val="11"/>
              <w:ind w:firstLine="0" w:firstLineChars="0"/>
              <w:jc w:val="center"/>
              <w:rPr>
                <w:rFonts w:hint="eastAsia" w:ascii="Times New Roman" w:hAnsi="Times New Roman"/>
                <w:sz w:val="24"/>
              </w:rPr>
            </w:pPr>
            <w:r>
              <w:rPr>
                <w:rFonts w:hint="eastAsia" w:ascii="Times New Roman" w:hAnsi="Times New Roman"/>
                <w:sz w:val="24"/>
              </w:rPr>
              <w:t>25%</w:t>
            </w:r>
          </w:p>
        </w:tc>
      </w:tr>
      <w:tr w14:paraId="46C9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324" w:type="dxa"/>
            <w:noWrap w:val="0"/>
            <w:vAlign w:val="center"/>
          </w:tcPr>
          <w:p w14:paraId="28FAD6C3">
            <w:pPr>
              <w:pStyle w:val="11"/>
              <w:ind w:firstLine="0" w:firstLineChars="0"/>
              <w:jc w:val="both"/>
              <w:rPr>
                <w:rFonts w:hint="eastAsia" w:ascii="Times New Roman" w:hAnsi="Times New Roman"/>
                <w:sz w:val="24"/>
              </w:rPr>
            </w:pPr>
            <w:r>
              <w:rPr>
                <w:rFonts w:hint="eastAsia" w:ascii="Times New Roman" w:hAnsi="Times New Roman"/>
                <w:sz w:val="24"/>
              </w:rPr>
              <w:t>模块C：智能自动驾驶场景综合应用</w:t>
            </w:r>
          </w:p>
        </w:tc>
        <w:tc>
          <w:tcPr>
            <w:tcW w:w="1707" w:type="dxa"/>
            <w:noWrap w:val="0"/>
            <w:vAlign w:val="center"/>
          </w:tcPr>
          <w:p w14:paraId="094AC06A">
            <w:pPr>
              <w:pStyle w:val="11"/>
              <w:ind w:firstLine="0" w:firstLineChars="0"/>
              <w:jc w:val="center"/>
              <w:rPr>
                <w:rFonts w:hint="eastAsia" w:ascii="Times New Roman" w:hAnsi="Times New Roman"/>
                <w:sz w:val="24"/>
              </w:rPr>
            </w:pPr>
            <w:r>
              <w:rPr>
                <w:rFonts w:hint="eastAsia" w:ascii="Times New Roman" w:hAnsi="Times New Roman"/>
                <w:sz w:val="24"/>
              </w:rPr>
              <w:t>全过程</w:t>
            </w:r>
          </w:p>
        </w:tc>
        <w:tc>
          <w:tcPr>
            <w:tcW w:w="1320" w:type="dxa"/>
            <w:noWrap w:val="0"/>
            <w:vAlign w:val="center"/>
          </w:tcPr>
          <w:p w14:paraId="7F965A7E">
            <w:pPr>
              <w:pStyle w:val="11"/>
              <w:ind w:firstLine="0" w:firstLineChars="0"/>
              <w:jc w:val="center"/>
              <w:rPr>
                <w:rFonts w:hint="eastAsia" w:ascii="Times New Roman" w:hAnsi="Times New Roman"/>
                <w:sz w:val="24"/>
              </w:rPr>
            </w:pPr>
            <w:r>
              <w:rPr>
                <w:rFonts w:hint="eastAsia" w:ascii="Times New Roman" w:hAnsi="Times New Roman"/>
                <w:sz w:val="24"/>
              </w:rPr>
              <w:t>35分</w:t>
            </w:r>
          </w:p>
        </w:tc>
        <w:tc>
          <w:tcPr>
            <w:tcW w:w="1428" w:type="dxa"/>
            <w:noWrap w:val="0"/>
            <w:vAlign w:val="center"/>
          </w:tcPr>
          <w:p w14:paraId="40C9338B">
            <w:pPr>
              <w:pStyle w:val="11"/>
              <w:ind w:firstLine="0" w:firstLineChars="0"/>
              <w:jc w:val="center"/>
              <w:rPr>
                <w:rFonts w:hint="eastAsia" w:ascii="Times New Roman" w:hAnsi="Times New Roman"/>
                <w:sz w:val="24"/>
              </w:rPr>
            </w:pPr>
            <w:r>
              <w:rPr>
                <w:rFonts w:hint="eastAsia" w:ascii="Times New Roman" w:hAnsi="Times New Roman"/>
                <w:sz w:val="24"/>
              </w:rPr>
              <w:t>35%</w:t>
            </w:r>
          </w:p>
        </w:tc>
      </w:tr>
      <w:tr w14:paraId="3BAC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324" w:type="dxa"/>
            <w:noWrap w:val="0"/>
            <w:vAlign w:val="center"/>
          </w:tcPr>
          <w:p w14:paraId="2F092724">
            <w:pPr>
              <w:pStyle w:val="11"/>
              <w:ind w:firstLine="0" w:firstLineChars="0"/>
              <w:jc w:val="both"/>
              <w:rPr>
                <w:rFonts w:hint="eastAsia" w:ascii="Times New Roman" w:hAnsi="Times New Roman"/>
                <w:sz w:val="24"/>
              </w:rPr>
            </w:pPr>
            <w:r>
              <w:rPr>
                <w:rFonts w:hint="eastAsia" w:ascii="Times New Roman" w:hAnsi="Times New Roman"/>
                <w:sz w:val="24"/>
              </w:rPr>
              <w:t>模块D：安全意识与职业素养</w:t>
            </w:r>
          </w:p>
        </w:tc>
        <w:tc>
          <w:tcPr>
            <w:tcW w:w="1707" w:type="dxa"/>
            <w:noWrap w:val="0"/>
            <w:vAlign w:val="center"/>
          </w:tcPr>
          <w:p w14:paraId="0B767178">
            <w:pPr>
              <w:pStyle w:val="11"/>
              <w:ind w:firstLine="0" w:firstLineChars="0"/>
              <w:jc w:val="center"/>
              <w:rPr>
                <w:rFonts w:hint="eastAsia" w:ascii="Times New Roman" w:hAnsi="Times New Roman"/>
                <w:sz w:val="24"/>
              </w:rPr>
            </w:pPr>
            <w:r>
              <w:rPr>
                <w:rFonts w:hint="eastAsia" w:ascii="Times New Roman" w:hAnsi="Times New Roman"/>
                <w:sz w:val="24"/>
              </w:rPr>
              <w:t>全过程</w:t>
            </w:r>
          </w:p>
        </w:tc>
        <w:tc>
          <w:tcPr>
            <w:tcW w:w="1320" w:type="dxa"/>
            <w:noWrap w:val="0"/>
            <w:vAlign w:val="center"/>
          </w:tcPr>
          <w:p w14:paraId="2297877C">
            <w:pPr>
              <w:pStyle w:val="11"/>
              <w:ind w:firstLine="0" w:firstLineChars="0"/>
              <w:jc w:val="center"/>
              <w:rPr>
                <w:rFonts w:hint="eastAsia" w:ascii="Times New Roman" w:hAnsi="Times New Roman"/>
                <w:sz w:val="24"/>
              </w:rPr>
            </w:pPr>
            <w:r>
              <w:rPr>
                <w:rFonts w:hint="eastAsia" w:ascii="Times New Roman" w:hAnsi="Times New Roman"/>
                <w:sz w:val="24"/>
              </w:rPr>
              <w:t>5分</w:t>
            </w:r>
          </w:p>
        </w:tc>
        <w:tc>
          <w:tcPr>
            <w:tcW w:w="1428" w:type="dxa"/>
            <w:noWrap w:val="0"/>
            <w:vAlign w:val="center"/>
          </w:tcPr>
          <w:p w14:paraId="4BB4BFCD">
            <w:pPr>
              <w:pStyle w:val="11"/>
              <w:ind w:firstLine="0" w:firstLineChars="0"/>
              <w:jc w:val="center"/>
              <w:rPr>
                <w:rFonts w:hint="eastAsia" w:ascii="Times New Roman" w:hAnsi="Times New Roman"/>
                <w:sz w:val="24"/>
              </w:rPr>
            </w:pPr>
            <w:r>
              <w:rPr>
                <w:rFonts w:hint="eastAsia" w:ascii="Times New Roman" w:hAnsi="Times New Roman"/>
                <w:sz w:val="24"/>
              </w:rPr>
              <w:t>5%</w:t>
            </w:r>
          </w:p>
        </w:tc>
      </w:tr>
      <w:tr w14:paraId="0758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324" w:type="dxa"/>
            <w:noWrap w:val="0"/>
            <w:vAlign w:val="center"/>
          </w:tcPr>
          <w:p w14:paraId="06BDEF21">
            <w:pPr>
              <w:pStyle w:val="11"/>
              <w:ind w:firstLine="0" w:firstLineChars="0"/>
              <w:jc w:val="center"/>
              <w:rPr>
                <w:rFonts w:hint="eastAsia" w:ascii="Times New Roman" w:hAnsi="Times New Roman"/>
                <w:sz w:val="24"/>
              </w:rPr>
            </w:pPr>
            <w:r>
              <w:rPr>
                <w:rFonts w:hint="eastAsia" w:ascii="Times New Roman" w:hAnsi="Times New Roman"/>
                <w:sz w:val="24"/>
              </w:rPr>
              <w:t>总分</w:t>
            </w:r>
          </w:p>
        </w:tc>
        <w:tc>
          <w:tcPr>
            <w:tcW w:w="1707" w:type="dxa"/>
            <w:noWrap w:val="0"/>
            <w:vAlign w:val="center"/>
          </w:tcPr>
          <w:p w14:paraId="08ADF6E0">
            <w:pPr>
              <w:pStyle w:val="11"/>
              <w:ind w:firstLine="0" w:firstLineChars="0"/>
              <w:jc w:val="center"/>
              <w:rPr>
                <w:rFonts w:ascii="Times New Roman" w:hAnsi="Times New Roman"/>
                <w:sz w:val="24"/>
              </w:rPr>
            </w:pPr>
            <w:r>
              <w:rPr>
                <w:rFonts w:hint="eastAsia" w:ascii="Times New Roman" w:hAnsi="Times New Roman"/>
                <w:sz w:val="24"/>
              </w:rPr>
              <w:t>2小时</w:t>
            </w:r>
          </w:p>
        </w:tc>
        <w:tc>
          <w:tcPr>
            <w:tcW w:w="1320" w:type="dxa"/>
            <w:noWrap w:val="0"/>
            <w:vAlign w:val="center"/>
          </w:tcPr>
          <w:p w14:paraId="71A21EE8">
            <w:pPr>
              <w:pStyle w:val="11"/>
              <w:ind w:firstLine="0" w:firstLineChars="0"/>
              <w:jc w:val="center"/>
              <w:rPr>
                <w:rFonts w:ascii="Times New Roman" w:hAnsi="Times New Roman"/>
                <w:sz w:val="24"/>
              </w:rPr>
            </w:pPr>
            <w:r>
              <w:rPr>
                <w:rFonts w:hint="eastAsia" w:ascii="Times New Roman" w:hAnsi="Times New Roman"/>
                <w:sz w:val="24"/>
              </w:rPr>
              <w:t>100分</w:t>
            </w:r>
          </w:p>
        </w:tc>
        <w:tc>
          <w:tcPr>
            <w:tcW w:w="1428" w:type="dxa"/>
            <w:noWrap w:val="0"/>
            <w:vAlign w:val="center"/>
          </w:tcPr>
          <w:p w14:paraId="5855666E">
            <w:pPr>
              <w:pStyle w:val="11"/>
              <w:ind w:firstLine="0" w:firstLineChars="0"/>
              <w:jc w:val="center"/>
              <w:rPr>
                <w:rFonts w:hint="eastAsia" w:ascii="Times New Roman" w:hAnsi="Times New Roman"/>
                <w:sz w:val="24"/>
              </w:rPr>
            </w:pPr>
            <w:r>
              <w:rPr>
                <w:rFonts w:hint="eastAsia" w:ascii="Times New Roman" w:hAnsi="Times New Roman"/>
                <w:sz w:val="24"/>
              </w:rPr>
              <w:t>100%</w:t>
            </w:r>
          </w:p>
        </w:tc>
      </w:tr>
    </w:tbl>
    <w:p w14:paraId="491835A2">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楷体_GB2312" w:cs="Times New Roman"/>
          <w:szCs w:val="32"/>
        </w:rPr>
      </w:pPr>
      <w:bookmarkStart w:id="14" w:name="_Toc25840"/>
      <w:r>
        <w:rPr>
          <w:rFonts w:hint="eastAsia" w:ascii="Times New Roman" w:hAnsi="Times New Roman" w:eastAsia="楷体_GB2312" w:cs="Times New Roman"/>
          <w:szCs w:val="32"/>
        </w:rPr>
        <w:t>（二）评判方式</w:t>
      </w:r>
      <w:bookmarkEnd w:id="14"/>
    </w:p>
    <w:p w14:paraId="00D32AEE">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szCs w:val="32"/>
        </w:rPr>
      </w:pPr>
      <w:r>
        <w:rPr>
          <w:rFonts w:hint="eastAsia" w:ascii="Times New Roman" w:hAnsi="Times New Roman"/>
          <w:szCs w:val="32"/>
        </w:rPr>
        <w:t>竞赛评判方式及标准借鉴世界技能大赛的评分标准，以确保评分的客观性、公正性和准确性。明确规定每个竞赛项目的任务和技能要求，列出具体的评分指标，从技术准确性、质量、时间效率等多个方面进行评估。设定时间限制、安全要求、使用材料和工具规定，确保公平竞争和参赛选手的安全。实际操作是评分的基础，建立明确的评分流程和阶段，对评委进行培训，提高评判水平。设定不同的评分标准，不断完善和更新评分标准以适应技术和行业标准的发展。在借鉴世界技能大赛评分标准时，根据人工智能训练竞赛项目的特点和需求进行相应的调整和细化，同时保障评委的专业性和公正性，确保评分体系科学可靠。</w:t>
      </w:r>
    </w:p>
    <w:p w14:paraId="522D8BC3">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楷体_GB2312" w:cs="Times New Roman"/>
          <w:szCs w:val="32"/>
        </w:rPr>
      </w:pPr>
      <w:bookmarkStart w:id="15" w:name="_Toc5362"/>
      <w:r>
        <w:rPr>
          <w:rFonts w:hint="eastAsia" w:ascii="Times New Roman" w:hAnsi="Times New Roman" w:eastAsia="楷体_GB2312" w:cs="Times New Roman"/>
          <w:szCs w:val="32"/>
        </w:rPr>
        <w:t>（三）评判流程</w:t>
      </w:r>
      <w:bookmarkEnd w:id="15"/>
    </w:p>
    <w:p w14:paraId="444CE7B7">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szCs w:val="32"/>
        </w:rPr>
      </w:pPr>
      <w:r>
        <w:rPr>
          <w:rFonts w:hint="eastAsia" w:ascii="Times New Roman" w:hAnsi="Times New Roman"/>
          <w:szCs w:val="32"/>
        </w:rPr>
        <w:t>实操比赛</w:t>
      </w:r>
      <w:r>
        <w:rPr>
          <w:rFonts w:hint="eastAsia" w:cs="Times New Roman"/>
          <w:szCs w:val="32"/>
        </w:rPr>
        <w:t>评分</w:t>
      </w:r>
      <w:r>
        <w:rPr>
          <w:rFonts w:hint="eastAsia" w:ascii="Times New Roman" w:hAnsi="Times New Roman"/>
          <w:szCs w:val="32"/>
        </w:rPr>
        <w:t>由过程评分、结果评分、违规扣分三部分组成。</w:t>
      </w:r>
    </w:p>
    <w:p w14:paraId="45854209">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1. 过程评分：</w:t>
      </w:r>
    </w:p>
    <w:p w14:paraId="1E42FCF2">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过程评分至少由 2名裁判员根据评分细则，共同对选手的操作进行</w:t>
      </w:r>
      <w:r>
        <w:rPr>
          <w:rFonts w:hint="eastAsia" w:cs="Times New Roman"/>
          <w:szCs w:val="32"/>
        </w:rPr>
        <w:t>现场</w:t>
      </w:r>
      <w:r>
        <w:rPr>
          <w:rFonts w:hint="eastAsia"/>
          <w:szCs w:val="32"/>
        </w:rPr>
        <w:t>评分；若现场评分裁判对选手的评分有分歧时，由裁判长裁决。</w:t>
      </w:r>
    </w:p>
    <w:p w14:paraId="43D90FF7">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采用过程评分的任务，将根据工具、量具、仪器的选择和使用、操作步骤、操作方法、操作规范性、操作结果等诸方面进行评分。</w:t>
      </w:r>
    </w:p>
    <w:p w14:paraId="7E08CBAD">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2. 结果评分：</w:t>
      </w:r>
    </w:p>
    <w:p w14:paraId="28C51581">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结果评分至少由 2名裁判根据评分细则进行客观评分，并记录评分结果。</w:t>
      </w:r>
    </w:p>
    <w:p w14:paraId="7153E00D">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采用</w:t>
      </w:r>
      <w:r>
        <w:rPr>
          <w:rFonts w:hint="eastAsia" w:cs="Times New Roman"/>
          <w:szCs w:val="32"/>
        </w:rPr>
        <w:t>结果</w:t>
      </w:r>
      <w:r>
        <w:rPr>
          <w:rFonts w:hint="eastAsia"/>
          <w:szCs w:val="32"/>
        </w:rPr>
        <w:t>评分的任务，将根据任务书要求的竞赛任务，对参赛队完成调试、设计、训练、检测、决策的质量进行评判。</w:t>
      </w:r>
    </w:p>
    <w:p w14:paraId="4F7CC496">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3. 违规扣分选手竞赛中有下列情形者将予以扣分：</w:t>
      </w:r>
    </w:p>
    <w:p w14:paraId="13017D1E">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（1）在完成工作任务的过程中，因操作不当导致事故，扣总分10～15%，情况严重者取消竞赛资格；</w:t>
      </w:r>
    </w:p>
    <w:p w14:paraId="3F74A810">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（2）因</w:t>
      </w:r>
      <w:r>
        <w:rPr>
          <w:rFonts w:hint="eastAsia" w:cs="Times New Roman"/>
          <w:szCs w:val="32"/>
        </w:rPr>
        <w:t>违规</w:t>
      </w:r>
      <w:r>
        <w:rPr>
          <w:rFonts w:hint="eastAsia"/>
          <w:szCs w:val="32"/>
        </w:rPr>
        <w:t>操作损坏赛场提供的设备，污染赛场环境等严重不符合职业规范的行为，视情节扣总分5～10%，情况严重者取消竞赛资格；</w:t>
      </w:r>
    </w:p>
    <w:p w14:paraId="435DD2AE">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（3）扰乱</w:t>
      </w:r>
      <w:r>
        <w:rPr>
          <w:rFonts w:hint="eastAsia" w:cs="Times New Roman"/>
          <w:szCs w:val="32"/>
        </w:rPr>
        <w:t>赛场</w:t>
      </w:r>
      <w:r>
        <w:rPr>
          <w:rFonts w:hint="eastAsia"/>
          <w:szCs w:val="32"/>
        </w:rPr>
        <w:t>秩序，干扰裁判员工作，视情节扣总分5～10%，情况严重者取消竞赛资格；</w:t>
      </w:r>
    </w:p>
    <w:p w14:paraId="631BBEA8">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（4）没有按照竞赛规程和任务书设定赛项赛题进行的，比赛现场工具摆放不整齐、作业流程混乱、着装不规范、资料归档不完整，视情节扣总分5～10%；</w:t>
      </w:r>
    </w:p>
    <w:p w14:paraId="136E8030">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4. 评分方法和过程要求规范、统一、标准，保证对所有选手一致公平。</w:t>
      </w:r>
    </w:p>
    <w:p w14:paraId="53107443">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楷体_GB2312" w:cs="Times New Roman"/>
          <w:szCs w:val="32"/>
        </w:rPr>
      </w:pPr>
      <w:bookmarkStart w:id="16" w:name="_Toc21369"/>
      <w:bookmarkStart w:id="17" w:name="_Toc27086"/>
      <w:r>
        <w:rPr>
          <w:rFonts w:hint="eastAsia" w:ascii="Times New Roman" w:hAnsi="Times New Roman" w:eastAsia="楷体_GB2312" w:cs="Times New Roman"/>
          <w:szCs w:val="32"/>
        </w:rPr>
        <w:t>（四）最终成绩</w:t>
      </w:r>
      <w:bookmarkEnd w:id="16"/>
      <w:bookmarkEnd w:id="17"/>
    </w:p>
    <w:p w14:paraId="2A9B725D">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比赛项目</w:t>
      </w:r>
      <w:r>
        <w:rPr>
          <w:rFonts w:hint="eastAsia" w:cs="Times New Roman"/>
          <w:szCs w:val="32"/>
        </w:rPr>
        <w:t>最终</w:t>
      </w:r>
      <w:r>
        <w:rPr>
          <w:rFonts w:hint="eastAsia"/>
          <w:szCs w:val="32"/>
        </w:rPr>
        <w:t>成绩按 100 分制计分。最终成绩经复核无误，由裁判长、</w:t>
      </w:r>
      <w:r>
        <w:rPr>
          <w:rFonts w:hint="eastAsia"/>
          <w:szCs w:val="32"/>
          <w:lang w:val="en-US" w:eastAsia="zh-CN"/>
        </w:rPr>
        <w:t>仲裁组、</w:t>
      </w:r>
      <w:r>
        <w:rPr>
          <w:rFonts w:hint="eastAsia"/>
          <w:szCs w:val="32"/>
        </w:rPr>
        <w:t>选手共同签字确认。最终竞赛成绩及排名由组委会统一公布。</w:t>
      </w:r>
    </w:p>
    <w:p w14:paraId="468087CD">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楷体_GB2312" w:cs="Times New Roman"/>
          <w:szCs w:val="32"/>
        </w:rPr>
      </w:pPr>
      <w:bookmarkStart w:id="18" w:name="_Toc3647"/>
      <w:bookmarkStart w:id="19" w:name="_Toc23601"/>
      <w:r>
        <w:rPr>
          <w:rFonts w:hint="eastAsia" w:ascii="Times New Roman" w:hAnsi="Times New Roman" w:eastAsia="楷体_GB2312" w:cs="Times New Roman"/>
          <w:szCs w:val="32"/>
        </w:rPr>
        <w:t>（五）成绩排序</w:t>
      </w:r>
      <w:bookmarkEnd w:id="18"/>
      <w:bookmarkEnd w:id="19"/>
    </w:p>
    <w:p w14:paraId="5B954F88">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eastAsia="黑体"/>
          <w:bCs/>
          <w:szCs w:val="32"/>
        </w:rPr>
      </w:pPr>
      <w:r>
        <w:rPr>
          <w:rFonts w:hint="eastAsia"/>
          <w:szCs w:val="32"/>
        </w:rPr>
        <w:t>名次的排序根据选手竞赛总分评定结果从高到低依次排定；各组选手如果竞赛总分相同者，即成绩并列，则按“模块C：智能自动驾驶场景综合应用”的得分高低确定名次，若模块C得分相同时，则按“模块B：人工智能应用模型训练”的得分高低确定名次，若模块B得分相同时，按“模块A：人工智能应用数据集制作”的得分高低确定名次。</w:t>
      </w:r>
    </w:p>
    <w:p w14:paraId="6C8A3D03">
      <w:pPr>
        <w:pStyle w:val="16"/>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outlineLvl w:val="0"/>
        <w:rPr>
          <w:rFonts w:ascii="Times New Roman" w:hAnsi="Times New Roman" w:eastAsia="黑体" w:cs="Times New Roman"/>
          <w:bCs/>
          <w:szCs w:val="32"/>
        </w:rPr>
      </w:pPr>
      <w:bookmarkStart w:id="20" w:name="_Toc9549"/>
      <w:r>
        <w:rPr>
          <w:rFonts w:ascii="Times New Roman" w:hAnsi="Times New Roman" w:eastAsia="黑体" w:cs="Times New Roman"/>
          <w:bCs/>
          <w:szCs w:val="32"/>
        </w:rPr>
        <w:t>四、竞赛场地、设施设备安排</w:t>
      </w:r>
      <w:bookmarkEnd w:id="13"/>
      <w:bookmarkEnd w:id="20"/>
    </w:p>
    <w:p w14:paraId="5971FFE4">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楷体_GB2312" w:cs="Times New Roman"/>
          <w:szCs w:val="32"/>
        </w:rPr>
      </w:pPr>
      <w:bookmarkStart w:id="21" w:name="_Toc3584"/>
      <w:bookmarkStart w:id="22" w:name="_Toc12735"/>
      <w:bookmarkStart w:id="23" w:name="_Toc20379"/>
      <w:r>
        <w:rPr>
          <w:rFonts w:hint="eastAsia" w:ascii="Times New Roman" w:hAnsi="Times New Roman" w:eastAsia="楷体_GB2312" w:cs="Times New Roman"/>
          <w:szCs w:val="32"/>
        </w:rPr>
        <w:t>（一）赛场规格要求</w:t>
      </w:r>
      <w:bookmarkEnd w:id="21"/>
      <w:bookmarkEnd w:id="22"/>
      <w:bookmarkEnd w:id="23"/>
    </w:p>
    <w:p w14:paraId="5E8E2D00">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1. 场地面积</w:t>
      </w:r>
    </w:p>
    <w:p w14:paraId="3375DDCA">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lang w:val="en-GB"/>
        </w:rPr>
      </w:pPr>
      <w:r>
        <w:rPr>
          <w:rFonts w:hint="eastAsia"/>
          <w:szCs w:val="32"/>
          <w:lang w:val="en-GB"/>
        </w:rPr>
        <w:t>本项目场地工位数量为</w:t>
      </w:r>
      <w:r>
        <w:rPr>
          <w:rFonts w:hint="eastAsia"/>
          <w:szCs w:val="32"/>
          <w:lang w:val="en-US" w:eastAsia="zh-CN"/>
        </w:rPr>
        <w:t>11</w:t>
      </w:r>
      <w:r>
        <w:rPr>
          <w:rFonts w:hint="eastAsia"/>
          <w:szCs w:val="32"/>
          <w:lang w:val="en-GB"/>
        </w:rPr>
        <w:t>个，工位间隔</w:t>
      </w:r>
      <w:r>
        <w:rPr>
          <w:rFonts w:hint="eastAsia"/>
          <w:szCs w:val="32"/>
        </w:rPr>
        <w:t>5</w:t>
      </w:r>
      <w:r>
        <w:rPr>
          <w:rFonts w:hint="eastAsia"/>
          <w:szCs w:val="32"/>
          <w:lang w:val="en-GB"/>
        </w:rPr>
        <w:t>0cm，独立演示工位需求至少为16</w:t>
      </w:r>
      <w:r>
        <w:rPr>
          <w:rFonts w:hint="eastAsia"/>
          <w:szCs w:val="32"/>
        </w:rPr>
        <w:t>㎡</w:t>
      </w:r>
      <w:r>
        <w:rPr>
          <w:rFonts w:hint="eastAsia"/>
          <w:szCs w:val="32"/>
          <w:lang w:val="en-GB"/>
        </w:rPr>
        <w:t>，操作工位4</w:t>
      </w:r>
      <w:r>
        <w:rPr>
          <w:rFonts w:hint="eastAsia"/>
          <w:szCs w:val="32"/>
        </w:rPr>
        <w:t>㎡</w:t>
      </w:r>
      <w:r>
        <w:rPr>
          <w:rFonts w:hint="eastAsia"/>
          <w:szCs w:val="32"/>
          <w:lang w:val="en-GB"/>
        </w:rPr>
        <w:t>，提供220V交流电（插座带地线），线路能承载功率3kW、14A以上。比赛工位</w:t>
      </w:r>
      <w:r>
        <w:rPr>
          <w:rFonts w:hint="eastAsia"/>
          <w:szCs w:val="32"/>
        </w:rPr>
        <w:t>数量将</w:t>
      </w:r>
      <w:r>
        <w:rPr>
          <w:rFonts w:hint="eastAsia"/>
          <w:szCs w:val="32"/>
          <w:lang w:val="en-GB"/>
        </w:rPr>
        <w:t>设置根据最终报名参赛队数量调整。</w:t>
      </w:r>
    </w:p>
    <w:p w14:paraId="1DCBDC9B">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2. 场地照明要求</w:t>
      </w:r>
    </w:p>
    <w:p w14:paraId="696680C7">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竞赛场地照明应充足、柔和。各工位分区供电，强电弱电分开布线，工位及竞赛桌面照度大于500lux。现场临时用电需满足《施工现场临时用电安全技术规范》JGJ46-2005的要求。</w:t>
      </w:r>
    </w:p>
    <w:p w14:paraId="3535FCAE">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3. 场地消防和逃生要求</w:t>
      </w:r>
    </w:p>
    <w:p w14:paraId="4DA3A2C3">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赛场必须留有安全通道。竞赛前必须明确告诉选手和裁判员安全通道和安全门位置。赛场必须配备灭火设备，并置于显著位置，现场消防器材和消防栓合格有效，应急照明设施状态合格，赛场明显位置张贴紧急疏散图，赛场地面张贴荧光疏散指示箭头。赛场出入口专人负责，赛场组织人员要做好竞赛安全、健康和公共卫生及突发事件预防与应急处理等工作。</w:t>
      </w:r>
    </w:p>
    <w:p w14:paraId="3E86C2C1">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楷体_GB2312" w:cs="Times New Roman"/>
          <w:szCs w:val="32"/>
        </w:rPr>
      </w:pPr>
      <w:bookmarkStart w:id="24" w:name="_Toc16032"/>
      <w:bookmarkStart w:id="25" w:name="_Toc29056"/>
      <w:bookmarkStart w:id="26" w:name="_Toc11753"/>
      <w:r>
        <w:rPr>
          <w:rFonts w:hint="eastAsia" w:ascii="Times New Roman" w:hAnsi="Times New Roman" w:eastAsia="楷体_GB2312" w:cs="Times New Roman"/>
          <w:szCs w:val="32"/>
        </w:rPr>
        <w:t>（二）场地布局（暂定）</w:t>
      </w:r>
      <w:bookmarkEnd w:id="24"/>
      <w:bookmarkEnd w:id="25"/>
      <w:bookmarkEnd w:id="26"/>
    </w:p>
    <w:p w14:paraId="55D63706">
      <w:pPr>
        <w:pStyle w:val="16"/>
        <w:ind w:firstLine="0" w:firstLineChars="0"/>
        <w:jc w:val="center"/>
        <w:rPr>
          <w:rFonts w:hint="eastAsia" w:eastAsia="楷体_GB2312"/>
          <w:szCs w:val="32"/>
        </w:rPr>
      </w:pPr>
      <w:r>
        <w:drawing>
          <wp:inline distT="0" distB="0" distL="114300" distR="114300">
            <wp:extent cx="5349240" cy="2990850"/>
            <wp:effectExtent l="0" t="0" r="381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349240" cy="2990850"/>
                    </a:xfrm>
                    <a:prstGeom prst="rect">
                      <a:avLst/>
                    </a:prstGeom>
                    <a:noFill/>
                    <a:ln>
                      <a:noFill/>
                    </a:ln>
                  </pic:spPr>
                </pic:pic>
              </a:graphicData>
            </a:graphic>
          </wp:inline>
        </w:drawing>
      </w:r>
    </w:p>
    <w:p w14:paraId="40189E0D">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竞赛主要配置设备清单、技术参数见下表，保证竞赛过程中不因缺少安装工具、测试工具和耗材等影响竞赛正常进行。</w:t>
      </w:r>
    </w:p>
    <w:p w14:paraId="60251437">
      <w:pPr>
        <w:pStyle w:val="16"/>
        <w:spacing w:line="360" w:lineRule="auto"/>
        <w:ind w:firstLine="0" w:firstLineChars="0"/>
        <w:jc w:val="center"/>
        <w:rPr>
          <w:rFonts w:hint="eastAsia"/>
          <w:b/>
          <w:bCs/>
          <w:szCs w:val="32"/>
        </w:rPr>
      </w:pPr>
      <w:r>
        <w:rPr>
          <w:rFonts w:hint="eastAsia"/>
          <w:b/>
          <w:bCs/>
          <w:szCs w:val="32"/>
        </w:rPr>
        <w:t>竞赛主要配置设备</w:t>
      </w:r>
      <w:r>
        <w:rPr>
          <w:b/>
          <w:bCs/>
          <w:szCs w:val="32"/>
        </w:rPr>
        <w:t>清单表</w:t>
      </w:r>
    </w:p>
    <w:tbl>
      <w:tblPr>
        <w:tblStyle w:val="12"/>
        <w:tblW w:w="869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520"/>
        <w:gridCol w:w="1608"/>
        <w:gridCol w:w="2244"/>
        <w:gridCol w:w="4323"/>
      </w:tblGrid>
      <w:tr w14:paraId="59A1ED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520" w:type="dxa"/>
            <w:tcBorders>
              <w:top w:val="single" w:color="000000" w:sz="8" w:space="0"/>
              <w:left w:val="single" w:color="000000" w:sz="8" w:space="0"/>
              <w:bottom w:val="single" w:color="000000" w:sz="8" w:space="0"/>
              <w:right w:val="single" w:color="000000" w:sz="8" w:space="0"/>
            </w:tcBorders>
            <w:noWrap w:val="0"/>
            <w:vAlign w:val="center"/>
          </w:tcPr>
          <w:p w14:paraId="4A61723E">
            <w:pPr>
              <w:pStyle w:val="11"/>
              <w:spacing w:line="360" w:lineRule="auto"/>
              <w:ind w:firstLine="0" w:firstLineChars="0"/>
              <w:jc w:val="center"/>
              <w:rPr>
                <w:rFonts w:hint="eastAsia" w:ascii="Times New Roman" w:hAnsi="Times New Roman"/>
                <w:b/>
                <w:bCs/>
                <w:sz w:val="24"/>
                <w:lang w:eastAsia="en-US"/>
              </w:rPr>
            </w:pPr>
            <w:r>
              <w:rPr>
                <w:rFonts w:hint="eastAsia" w:ascii="Times New Roman" w:hAnsi="Times New Roman"/>
                <w:b/>
                <w:bCs/>
                <w:sz w:val="24"/>
                <w:lang w:eastAsia="en-US"/>
              </w:rPr>
              <w:t>序号</w:t>
            </w: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637A8726">
            <w:pPr>
              <w:pStyle w:val="11"/>
              <w:spacing w:line="360" w:lineRule="auto"/>
              <w:ind w:firstLine="0" w:firstLineChars="0"/>
              <w:jc w:val="center"/>
              <w:rPr>
                <w:rFonts w:hint="eastAsia" w:ascii="Times New Roman" w:hAnsi="Times New Roman"/>
                <w:b/>
                <w:bCs/>
                <w:sz w:val="24"/>
                <w:lang w:eastAsia="en-US"/>
              </w:rPr>
            </w:pPr>
            <w:r>
              <w:rPr>
                <w:rFonts w:hint="eastAsia" w:ascii="Times New Roman" w:hAnsi="Times New Roman"/>
                <w:b/>
                <w:bCs/>
                <w:sz w:val="24"/>
                <w:lang w:eastAsia="en-US"/>
              </w:rPr>
              <w:t>设备名称</w:t>
            </w:r>
          </w:p>
        </w:tc>
        <w:tc>
          <w:tcPr>
            <w:tcW w:w="2244" w:type="dxa"/>
            <w:tcBorders>
              <w:top w:val="single" w:color="000000" w:sz="8" w:space="0"/>
              <w:left w:val="single" w:color="000000" w:sz="8" w:space="0"/>
              <w:bottom w:val="single" w:color="000000" w:sz="8" w:space="0"/>
              <w:right w:val="single" w:color="000000" w:sz="8" w:space="0"/>
            </w:tcBorders>
            <w:noWrap w:val="0"/>
            <w:vAlign w:val="center"/>
          </w:tcPr>
          <w:p w14:paraId="4D925A1A">
            <w:pPr>
              <w:pStyle w:val="11"/>
              <w:spacing w:line="360" w:lineRule="auto"/>
              <w:ind w:firstLine="0" w:firstLineChars="0"/>
              <w:jc w:val="center"/>
              <w:rPr>
                <w:rFonts w:hint="eastAsia" w:ascii="Times New Roman" w:hAnsi="Times New Roman"/>
                <w:b/>
                <w:bCs/>
                <w:sz w:val="24"/>
                <w:lang w:eastAsia="en-US"/>
              </w:rPr>
            </w:pPr>
            <w:r>
              <w:rPr>
                <w:rFonts w:ascii="Times New Roman" w:hAnsi="Times New Roman" w:eastAsia="仿宋_GB2312"/>
                <w:b/>
                <w:caps/>
                <w:color w:val="auto"/>
                <w:sz w:val="24"/>
                <w:lang w:eastAsia="zh-CN"/>
              </w:rPr>
              <w:t>数量</w:t>
            </w:r>
          </w:p>
        </w:tc>
        <w:tc>
          <w:tcPr>
            <w:tcW w:w="4323" w:type="dxa"/>
            <w:tcBorders>
              <w:top w:val="single" w:color="000000" w:sz="8" w:space="0"/>
              <w:left w:val="single" w:color="000000" w:sz="8" w:space="0"/>
              <w:bottom w:val="single" w:color="000000" w:sz="8" w:space="0"/>
              <w:right w:val="single" w:color="000000" w:sz="8" w:space="0"/>
            </w:tcBorders>
            <w:noWrap w:val="0"/>
            <w:vAlign w:val="center"/>
          </w:tcPr>
          <w:p w14:paraId="73A13BE5">
            <w:pPr>
              <w:pStyle w:val="11"/>
              <w:spacing w:line="360" w:lineRule="auto"/>
              <w:ind w:firstLine="0" w:firstLineChars="0"/>
              <w:jc w:val="center"/>
              <w:rPr>
                <w:rFonts w:hint="eastAsia" w:ascii="Times New Roman" w:hAnsi="Times New Roman"/>
                <w:b/>
                <w:bCs/>
                <w:sz w:val="24"/>
                <w:lang w:eastAsia="en-US"/>
              </w:rPr>
            </w:pPr>
            <w:r>
              <w:rPr>
                <w:rFonts w:ascii="Times New Roman" w:hAnsi="Times New Roman" w:eastAsia="仿宋_GB2312"/>
                <w:b/>
                <w:caps/>
                <w:color w:val="auto"/>
                <w:sz w:val="24"/>
                <w:lang w:eastAsia="zh-CN"/>
              </w:rPr>
              <w:t>技术规格</w:t>
            </w:r>
          </w:p>
        </w:tc>
      </w:tr>
      <w:tr w14:paraId="5B3FB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520" w:type="dxa"/>
            <w:tcBorders>
              <w:top w:val="single" w:color="000000" w:sz="8" w:space="0"/>
              <w:left w:val="single" w:color="000000" w:sz="8" w:space="0"/>
              <w:bottom w:val="single" w:color="000000" w:sz="8" w:space="0"/>
              <w:right w:val="single" w:color="000000" w:sz="8" w:space="0"/>
            </w:tcBorders>
            <w:noWrap w:val="0"/>
            <w:vAlign w:val="center"/>
          </w:tcPr>
          <w:p w14:paraId="3D2A843C">
            <w:pPr>
              <w:pStyle w:val="11"/>
              <w:spacing w:line="360" w:lineRule="auto"/>
              <w:ind w:firstLine="0" w:firstLineChars="0"/>
              <w:jc w:val="center"/>
              <w:rPr>
                <w:rFonts w:hint="eastAsia" w:ascii="Times New Roman" w:hAnsi="Times New Roman"/>
                <w:b/>
                <w:bCs/>
                <w:sz w:val="24"/>
                <w:lang w:eastAsia="en-US"/>
              </w:rPr>
            </w:pPr>
            <w:r>
              <w:rPr>
                <w:rFonts w:hint="eastAsia" w:ascii="Times New Roman" w:hAnsi="Times New Roman"/>
                <w:sz w:val="24"/>
                <w:lang w:eastAsia="en-US"/>
              </w:rPr>
              <w:t>1</w:t>
            </w: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1A66BF15">
            <w:pPr>
              <w:pStyle w:val="11"/>
              <w:spacing w:line="360" w:lineRule="auto"/>
              <w:ind w:firstLine="0" w:firstLineChars="0"/>
              <w:jc w:val="center"/>
              <w:rPr>
                <w:rFonts w:hint="eastAsia" w:ascii="Times New Roman" w:hAnsi="Times New Roman"/>
                <w:b/>
                <w:bCs/>
                <w:sz w:val="24"/>
              </w:rPr>
            </w:pPr>
            <w:r>
              <w:rPr>
                <w:rFonts w:hint="eastAsia" w:ascii="Times New Roman" w:hAnsi="Times New Roman"/>
                <w:sz w:val="24"/>
              </w:rPr>
              <w:t>人工智能训练应用平台</w:t>
            </w:r>
          </w:p>
        </w:tc>
        <w:tc>
          <w:tcPr>
            <w:tcW w:w="2244"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275074A">
            <w:pPr>
              <w:snapToGrid w:val="0"/>
              <w:spacing w:line="560" w:lineRule="exact"/>
              <w:jc w:val="center"/>
              <w:rPr>
                <w:rFonts w:hint="eastAsia" w:ascii="Times New Roman" w:hAnsi="Times New Roman" w:eastAsia="仿宋_GB2312" w:cs="Times New Roman"/>
                <w:kern w:val="2"/>
                <w:sz w:val="24"/>
                <w:szCs w:val="24"/>
                <w:lang w:val="en-US" w:eastAsia="zh-CN" w:bidi="ar-SA"/>
              </w:rPr>
            </w:pPr>
            <w:r>
              <w:rPr>
                <w:sz w:val="24"/>
              </w:rPr>
              <w:t>1</w:t>
            </w:r>
            <w:r>
              <w:rPr>
                <w:rFonts w:hint="eastAsia"/>
                <w:sz w:val="24"/>
                <w:lang w:val="en-US" w:eastAsia="zh-CN"/>
              </w:rPr>
              <w:t>个</w:t>
            </w:r>
          </w:p>
        </w:tc>
        <w:tc>
          <w:tcPr>
            <w:tcW w:w="4323" w:type="dxa"/>
            <w:tcBorders>
              <w:top w:val="single" w:color="000000" w:sz="8" w:space="0"/>
              <w:left w:val="single" w:color="000000" w:sz="8" w:space="0"/>
              <w:bottom w:val="single" w:color="000000" w:sz="8" w:space="0"/>
              <w:right w:val="single" w:color="000000" w:sz="8" w:space="0"/>
            </w:tcBorders>
            <w:noWrap w:val="0"/>
            <w:vAlign w:val="center"/>
          </w:tcPr>
          <w:p w14:paraId="422D658E">
            <w:pPr>
              <w:pStyle w:val="11"/>
              <w:spacing w:line="360" w:lineRule="auto"/>
              <w:ind w:firstLine="0" w:firstLineChars="0"/>
              <w:jc w:val="both"/>
              <w:rPr>
                <w:rFonts w:hint="eastAsia" w:ascii="Times New Roman" w:hAnsi="Times New Roman"/>
                <w:b/>
                <w:bCs/>
                <w:sz w:val="24"/>
              </w:rPr>
            </w:pPr>
            <w:r>
              <w:rPr>
                <w:rFonts w:hint="eastAsia" w:ascii="Times New Roman" w:hAnsi="Times New Roman"/>
                <w:sz w:val="24"/>
              </w:rPr>
              <w:t>包含人机协同数据标注平台和人工智能算法平台，主要用于进行数据处理、图像标注、数据导出、任务管理、模板管理、数据报表与数据评估，同时支持数据集管理、算法调参、模型训练、模型推理与部署、模型下载、数据可视化、在线编程等功能。</w:t>
            </w:r>
          </w:p>
        </w:tc>
      </w:tr>
      <w:tr w14:paraId="0E0A5A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520" w:type="dxa"/>
            <w:tcBorders>
              <w:top w:val="single" w:color="000000" w:sz="8" w:space="0"/>
              <w:left w:val="single" w:color="000000" w:sz="8" w:space="0"/>
              <w:bottom w:val="single" w:color="000000" w:sz="8" w:space="0"/>
              <w:right w:val="single" w:color="000000" w:sz="8" w:space="0"/>
            </w:tcBorders>
            <w:noWrap w:val="0"/>
            <w:vAlign w:val="center"/>
          </w:tcPr>
          <w:p w14:paraId="230A9BE1">
            <w:pPr>
              <w:pStyle w:val="11"/>
              <w:spacing w:line="360" w:lineRule="auto"/>
              <w:ind w:firstLine="0" w:firstLineChars="0"/>
              <w:jc w:val="center"/>
              <w:rPr>
                <w:rFonts w:hint="eastAsia" w:ascii="Times New Roman" w:hAnsi="Times New Roman"/>
                <w:sz w:val="24"/>
                <w:lang w:eastAsia="en-US"/>
              </w:rPr>
            </w:pPr>
            <w:r>
              <w:rPr>
                <w:rFonts w:hint="eastAsia" w:ascii="Times New Roman" w:hAnsi="Times New Roman"/>
                <w:sz w:val="24"/>
                <w:lang w:eastAsia="en-US"/>
              </w:rPr>
              <w:t>2</w:t>
            </w: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41101B83">
            <w:pPr>
              <w:pStyle w:val="11"/>
              <w:spacing w:line="360" w:lineRule="auto"/>
              <w:ind w:firstLine="0" w:firstLineChars="0"/>
              <w:jc w:val="center"/>
              <w:rPr>
                <w:rFonts w:hint="eastAsia" w:ascii="Times New Roman" w:hAnsi="Times New Roman"/>
                <w:sz w:val="24"/>
              </w:rPr>
            </w:pPr>
            <w:r>
              <w:rPr>
                <w:rFonts w:hint="eastAsia" w:ascii="Times New Roman" w:hAnsi="Times New Roman"/>
                <w:sz w:val="24"/>
              </w:rPr>
              <w:t>无人驾驶小车</w:t>
            </w:r>
          </w:p>
        </w:tc>
        <w:tc>
          <w:tcPr>
            <w:tcW w:w="2244"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D869B4A">
            <w:pPr>
              <w:snapToGrid w:val="0"/>
              <w:spacing w:line="560" w:lineRule="exact"/>
              <w:jc w:val="center"/>
              <w:rPr>
                <w:rFonts w:hint="eastAsia" w:ascii="Times New Roman" w:hAnsi="Times New Roman" w:eastAsia="仿宋_GB2312" w:cs="Times New Roman"/>
                <w:kern w:val="2"/>
                <w:sz w:val="24"/>
                <w:szCs w:val="24"/>
                <w:lang w:val="en-US" w:eastAsia="zh-CN" w:bidi="ar-SA"/>
              </w:rPr>
            </w:pPr>
            <w:r>
              <w:rPr>
                <w:sz w:val="24"/>
              </w:rPr>
              <w:t>1</w:t>
            </w:r>
            <w:r>
              <w:rPr>
                <w:rFonts w:hint="eastAsia"/>
                <w:sz w:val="24"/>
                <w:lang w:val="en-US" w:eastAsia="zh-CN"/>
              </w:rPr>
              <w:t>辆</w:t>
            </w:r>
          </w:p>
        </w:tc>
        <w:tc>
          <w:tcPr>
            <w:tcW w:w="4323" w:type="dxa"/>
            <w:tcBorders>
              <w:top w:val="single" w:color="000000" w:sz="8" w:space="0"/>
              <w:left w:val="single" w:color="000000" w:sz="8" w:space="0"/>
              <w:bottom w:val="single" w:color="000000" w:sz="8" w:space="0"/>
              <w:right w:val="single" w:color="000000" w:sz="8" w:space="0"/>
            </w:tcBorders>
            <w:noWrap w:val="0"/>
            <w:vAlign w:val="center"/>
          </w:tcPr>
          <w:p w14:paraId="104B7B4B">
            <w:pPr>
              <w:pStyle w:val="11"/>
              <w:spacing w:line="360" w:lineRule="auto"/>
              <w:ind w:firstLine="0" w:firstLineChars="0"/>
              <w:jc w:val="left"/>
              <w:rPr>
                <w:rFonts w:hint="eastAsia" w:ascii="Times New Roman" w:hAnsi="Times New Roman"/>
                <w:sz w:val="24"/>
              </w:rPr>
            </w:pPr>
            <w:r>
              <w:rPr>
                <w:rFonts w:hint="eastAsia" w:ascii="Times New Roman" w:hAnsi="Times New Roman"/>
                <w:sz w:val="24"/>
              </w:rPr>
              <w:t>可实现基于视觉与深度学习框架的交通标志物检测识别；基于多传感器融合SLAM的嵌入式室内避障、导航，能够通过可视化软件完成雷达建图、导航。</w:t>
            </w:r>
          </w:p>
        </w:tc>
      </w:tr>
      <w:tr w14:paraId="3EE51D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520" w:type="dxa"/>
            <w:tcBorders>
              <w:top w:val="single" w:color="000000" w:sz="8" w:space="0"/>
              <w:left w:val="single" w:color="000000" w:sz="8" w:space="0"/>
              <w:bottom w:val="single" w:color="000000" w:sz="8" w:space="0"/>
              <w:right w:val="single" w:color="000000" w:sz="8" w:space="0"/>
            </w:tcBorders>
            <w:noWrap w:val="0"/>
            <w:vAlign w:val="center"/>
          </w:tcPr>
          <w:p w14:paraId="5C6F8C6B">
            <w:pPr>
              <w:pStyle w:val="11"/>
              <w:spacing w:line="360" w:lineRule="auto"/>
              <w:ind w:firstLine="0" w:firstLineChars="0"/>
              <w:jc w:val="center"/>
              <w:rPr>
                <w:rFonts w:hint="eastAsia" w:ascii="Times New Roman" w:hAnsi="Times New Roman"/>
                <w:sz w:val="24"/>
                <w:lang w:eastAsia="en-US"/>
              </w:rPr>
            </w:pPr>
            <w:r>
              <w:rPr>
                <w:rFonts w:hint="eastAsia" w:ascii="Times New Roman" w:hAnsi="Times New Roman"/>
                <w:sz w:val="24"/>
                <w:lang w:eastAsia="en-US"/>
              </w:rPr>
              <w:t>3</w:t>
            </w: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3C6FF2B1">
            <w:pPr>
              <w:pStyle w:val="11"/>
              <w:spacing w:line="360" w:lineRule="auto"/>
              <w:ind w:firstLine="0" w:firstLineChars="0"/>
              <w:jc w:val="center"/>
              <w:rPr>
                <w:rFonts w:ascii="Times New Roman" w:hAnsi="Times New Roman"/>
                <w:sz w:val="24"/>
              </w:rPr>
            </w:pPr>
            <w:r>
              <w:rPr>
                <w:rFonts w:hint="eastAsia" w:ascii="Times New Roman" w:hAnsi="Times New Roman"/>
                <w:sz w:val="24"/>
              </w:rPr>
              <w:t>人工智能训练一体机</w:t>
            </w:r>
          </w:p>
        </w:tc>
        <w:tc>
          <w:tcPr>
            <w:tcW w:w="2244" w:type="dxa"/>
            <w:tcBorders>
              <w:top w:val="single" w:color="000000" w:sz="8" w:space="0"/>
              <w:left w:val="single" w:color="000000" w:sz="8" w:space="0"/>
              <w:bottom w:val="single" w:color="000000" w:sz="8" w:space="0"/>
              <w:right w:val="single" w:color="000000" w:sz="8" w:space="0"/>
            </w:tcBorders>
            <w:noWrap w:val="0"/>
            <w:vAlign w:val="center"/>
          </w:tcPr>
          <w:p w14:paraId="474F4265">
            <w:pPr>
              <w:pStyle w:val="11"/>
              <w:spacing w:line="360" w:lineRule="auto"/>
              <w:ind w:firstLine="0" w:firstLineChars="0"/>
              <w:jc w:val="center"/>
              <w:rPr>
                <w:rFonts w:hint="default" w:ascii="Times New Roman" w:hAnsi="Times New Roman" w:eastAsia="仿宋_GB2312"/>
                <w:sz w:val="24"/>
                <w:lang w:val="en-US" w:eastAsia="zh-CN"/>
              </w:rPr>
            </w:pPr>
            <w:r>
              <w:rPr>
                <w:rFonts w:hint="eastAsia" w:ascii="Times New Roman" w:hAnsi="Times New Roman"/>
                <w:sz w:val="24"/>
                <w:lang w:val="en-US" w:eastAsia="zh-CN"/>
              </w:rPr>
              <w:t>1台</w:t>
            </w:r>
          </w:p>
        </w:tc>
        <w:tc>
          <w:tcPr>
            <w:tcW w:w="4323" w:type="dxa"/>
            <w:tcBorders>
              <w:top w:val="single" w:color="000000" w:sz="8" w:space="0"/>
              <w:left w:val="single" w:color="000000" w:sz="8" w:space="0"/>
              <w:bottom w:val="single" w:color="000000" w:sz="8" w:space="0"/>
              <w:right w:val="single" w:color="000000" w:sz="8" w:space="0"/>
            </w:tcBorders>
            <w:noWrap w:val="0"/>
            <w:vAlign w:val="center"/>
          </w:tcPr>
          <w:p w14:paraId="438BBCDC">
            <w:pPr>
              <w:pStyle w:val="11"/>
              <w:spacing w:line="360" w:lineRule="auto"/>
              <w:ind w:firstLine="0" w:firstLineChars="0"/>
              <w:jc w:val="left"/>
              <w:rPr>
                <w:rFonts w:hint="eastAsia" w:ascii="Times New Roman" w:hAnsi="Times New Roman"/>
                <w:sz w:val="24"/>
              </w:rPr>
            </w:pPr>
            <w:r>
              <w:rPr>
                <w:rFonts w:hint="eastAsia" w:ascii="Times New Roman" w:hAnsi="Times New Roman"/>
                <w:sz w:val="24"/>
              </w:rPr>
              <w:t>用于部署人工智能训练应用平台，支撑人工智能数据处理、模型训练等。</w:t>
            </w:r>
          </w:p>
        </w:tc>
      </w:tr>
      <w:tr w14:paraId="0EA3E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520" w:type="dxa"/>
            <w:tcBorders>
              <w:top w:val="single" w:color="000000" w:sz="8" w:space="0"/>
              <w:left w:val="single" w:color="000000" w:sz="8" w:space="0"/>
              <w:bottom w:val="single" w:color="000000" w:sz="8" w:space="0"/>
              <w:right w:val="single" w:color="000000" w:sz="8" w:space="0"/>
            </w:tcBorders>
            <w:noWrap w:val="0"/>
            <w:vAlign w:val="center"/>
          </w:tcPr>
          <w:p w14:paraId="028B452B">
            <w:pPr>
              <w:pStyle w:val="11"/>
              <w:spacing w:line="360" w:lineRule="auto"/>
              <w:ind w:firstLine="0" w:firstLineChars="0"/>
              <w:jc w:val="center"/>
              <w:rPr>
                <w:rFonts w:hint="eastAsia" w:ascii="Times New Roman" w:hAnsi="Times New Roman"/>
                <w:sz w:val="24"/>
              </w:rPr>
            </w:pPr>
            <w:r>
              <w:rPr>
                <w:rFonts w:hint="eastAsia" w:ascii="Times New Roman" w:hAnsi="Times New Roman"/>
                <w:sz w:val="24"/>
              </w:rPr>
              <w:t>4</w:t>
            </w:r>
          </w:p>
        </w:tc>
        <w:tc>
          <w:tcPr>
            <w:tcW w:w="1608" w:type="dxa"/>
            <w:tcBorders>
              <w:top w:val="single" w:color="000000" w:sz="8" w:space="0"/>
              <w:left w:val="single" w:color="000000" w:sz="8" w:space="0"/>
              <w:bottom w:val="single" w:color="000000" w:sz="8" w:space="0"/>
              <w:right w:val="single" w:color="000000" w:sz="8" w:space="0"/>
            </w:tcBorders>
            <w:noWrap w:val="0"/>
            <w:vAlign w:val="center"/>
          </w:tcPr>
          <w:p w14:paraId="0F9869F0">
            <w:pPr>
              <w:pStyle w:val="11"/>
              <w:spacing w:line="360" w:lineRule="auto"/>
              <w:ind w:firstLine="0" w:firstLineChars="0"/>
              <w:jc w:val="center"/>
              <w:rPr>
                <w:rFonts w:hint="eastAsia" w:ascii="Times New Roman" w:hAnsi="Times New Roman"/>
                <w:sz w:val="24"/>
              </w:rPr>
            </w:pPr>
            <w:r>
              <w:rPr>
                <w:rFonts w:hint="eastAsia" w:ascii="Times New Roman" w:hAnsi="Times New Roman"/>
                <w:sz w:val="24"/>
              </w:rPr>
              <w:t>人工智能自动驾驶应用场景</w:t>
            </w:r>
          </w:p>
        </w:tc>
        <w:tc>
          <w:tcPr>
            <w:tcW w:w="2244" w:type="dxa"/>
            <w:tcBorders>
              <w:top w:val="single" w:color="000000" w:sz="8" w:space="0"/>
              <w:left w:val="single" w:color="000000" w:sz="8" w:space="0"/>
              <w:bottom w:val="single" w:color="000000" w:sz="8" w:space="0"/>
              <w:right w:val="single" w:color="000000" w:sz="8" w:space="0"/>
            </w:tcBorders>
            <w:noWrap w:val="0"/>
            <w:vAlign w:val="center"/>
          </w:tcPr>
          <w:p w14:paraId="5C5BA4E6">
            <w:pPr>
              <w:pStyle w:val="11"/>
              <w:spacing w:line="360" w:lineRule="auto"/>
              <w:ind w:firstLine="0" w:firstLineChars="0"/>
              <w:jc w:val="center"/>
              <w:rPr>
                <w:rFonts w:hint="default" w:ascii="Times New Roman" w:hAnsi="Times New Roman" w:eastAsia="仿宋_GB2312"/>
                <w:sz w:val="24"/>
                <w:lang w:val="en-US" w:eastAsia="zh-CN"/>
              </w:rPr>
            </w:pPr>
            <w:r>
              <w:rPr>
                <w:rFonts w:hint="eastAsia" w:ascii="Times New Roman" w:hAnsi="Times New Roman"/>
                <w:sz w:val="24"/>
                <w:lang w:val="en-US" w:eastAsia="zh-CN"/>
              </w:rPr>
              <w:t>2个工位共用1套</w:t>
            </w:r>
          </w:p>
        </w:tc>
        <w:tc>
          <w:tcPr>
            <w:tcW w:w="4323" w:type="dxa"/>
            <w:tcBorders>
              <w:top w:val="single" w:color="000000" w:sz="8" w:space="0"/>
              <w:left w:val="single" w:color="000000" w:sz="8" w:space="0"/>
              <w:bottom w:val="single" w:color="000000" w:sz="8" w:space="0"/>
              <w:right w:val="single" w:color="000000" w:sz="8" w:space="0"/>
            </w:tcBorders>
            <w:noWrap w:val="0"/>
            <w:vAlign w:val="center"/>
          </w:tcPr>
          <w:p w14:paraId="66D3D325">
            <w:pPr>
              <w:pStyle w:val="11"/>
              <w:spacing w:line="360" w:lineRule="auto"/>
              <w:ind w:firstLine="0" w:firstLineChars="0"/>
              <w:jc w:val="left"/>
              <w:rPr>
                <w:rFonts w:hint="eastAsia" w:ascii="Times New Roman" w:hAnsi="Times New Roman"/>
                <w:sz w:val="24"/>
              </w:rPr>
            </w:pPr>
            <w:r>
              <w:rPr>
                <w:rFonts w:hint="eastAsia" w:ascii="Times New Roman" w:hAnsi="Times New Roman"/>
                <w:sz w:val="24"/>
              </w:rPr>
              <w:t>具有多种道路模拟目标，满足任意位置的设置，可用于验证自动驾驶场景应用。</w:t>
            </w:r>
          </w:p>
        </w:tc>
      </w:tr>
    </w:tbl>
    <w:p w14:paraId="2709CC92">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Cs w:val="32"/>
        </w:rPr>
      </w:pPr>
      <w:r>
        <w:rPr>
          <w:rFonts w:hint="eastAsia"/>
          <w:szCs w:val="32"/>
        </w:rPr>
        <w:t>选手无需自带工具、材料。选手禁止携带 U 盘以及任何形式的通讯、存储设备。</w:t>
      </w:r>
    </w:p>
    <w:p w14:paraId="152F0185">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b/>
          <w:bCs/>
          <w:szCs w:val="32"/>
        </w:rPr>
      </w:pPr>
      <w:r>
        <w:rPr>
          <w:rFonts w:hint="eastAsia"/>
          <w:szCs w:val="32"/>
        </w:rPr>
        <w:t>未明确在选手携带工具清单中的，一律不得带入赛场。另外，赛场配发的各类工具、材料，选手一律不得带出赛场。</w:t>
      </w:r>
    </w:p>
    <w:p w14:paraId="0E74D49F">
      <w:pPr>
        <w:pStyle w:val="16"/>
        <w:spacing w:line="360" w:lineRule="auto"/>
        <w:ind w:firstLine="0" w:firstLineChars="0"/>
        <w:jc w:val="center"/>
        <w:rPr>
          <w:rFonts w:hint="eastAsia"/>
          <w:b/>
          <w:bCs/>
          <w:szCs w:val="32"/>
        </w:rPr>
      </w:pPr>
      <w:r>
        <w:rPr>
          <w:rFonts w:hint="eastAsia"/>
          <w:b/>
          <w:bCs/>
          <w:szCs w:val="32"/>
        </w:rPr>
        <w:t>竞赛主要配置设备技术参数表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334"/>
        <w:gridCol w:w="6394"/>
      </w:tblGrid>
      <w:tr w14:paraId="47A2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14:paraId="08C1B64B">
            <w:pPr>
              <w:pStyle w:val="11"/>
              <w:spacing w:line="360" w:lineRule="auto"/>
              <w:ind w:firstLine="0" w:firstLineChars="0"/>
              <w:jc w:val="center"/>
              <w:rPr>
                <w:rFonts w:hint="eastAsia" w:ascii="Times New Roman" w:hAnsi="Times New Roman"/>
                <w:b/>
                <w:bCs/>
                <w:sz w:val="24"/>
                <w:lang w:eastAsia="en-US"/>
              </w:rPr>
            </w:pPr>
            <w:r>
              <w:rPr>
                <w:rFonts w:hint="eastAsia" w:ascii="Times New Roman" w:hAnsi="Times New Roman"/>
                <w:b/>
                <w:bCs/>
                <w:sz w:val="24"/>
                <w:lang w:eastAsia="en-US"/>
              </w:rPr>
              <w:t>序号</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1AB12F45">
            <w:pPr>
              <w:pStyle w:val="11"/>
              <w:spacing w:line="360" w:lineRule="auto"/>
              <w:ind w:firstLine="0" w:firstLineChars="0"/>
              <w:jc w:val="center"/>
              <w:rPr>
                <w:rFonts w:hint="eastAsia" w:ascii="Times New Roman" w:hAnsi="Times New Roman"/>
                <w:b/>
                <w:bCs/>
                <w:sz w:val="24"/>
                <w:lang w:eastAsia="en-US"/>
              </w:rPr>
            </w:pPr>
            <w:r>
              <w:rPr>
                <w:rFonts w:hint="eastAsia" w:ascii="Times New Roman" w:hAnsi="Times New Roman"/>
                <w:b/>
                <w:bCs/>
                <w:sz w:val="24"/>
                <w:lang w:eastAsia="en-US"/>
              </w:rPr>
              <w:t>模块名称</w:t>
            </w:r>
          </w:p>
        </w:tc>
        <w:tc>
          <w:tcPr>
            <w:tcW w:w="6394" w:type="dxa"/>
            <w:tcBorders>
              <w:top w:val="single" w:color="auto" w:sz="4" w:space="0"/>
              <w:left w:val="single" w:color="auto" w:sz="4" w:space="0"/>
              <w:bottom w:val="single" w:color="auto" w:sz="4" w:space="0"/>
              <w:right w:val="single" w:color="auto" w:sz="4" w:space="0"/>
            </w:tcBorders>
            <w:noWrap w:val="0"/>
            <w:vAlign w:val="center"/>
          </w:tcPr>
          <w:p w14:paraId="34A31CED">
            <w:pPr>
              <w:pStyle w:val="11"/>
              <w:spacing w:line="360" w:lineRule="auto"/>
              <w:ind w:firstLine="0" w:firstLineChars="0"/>
              <w:jc w:val="center"/>
              <w:rPr>
                <w:rFonts w:hint="eastAsia" w:ascii="Times New Roman" w:hAnsi="Times New Roman"/>
                <w:b/>
                <w:bCs/>
                <w:sz w:val="24"/>
                <w:lang w:eastAsia="en-US"/>
              </w:rPr>
            </w:pPr>
            <w:r>
              <w:rPr>
                <w:rFonts w:hint="eastAsia" w:ascii="Times New Roman" w:hAnsi="Times New Roman"/>
                <w:b/>
                <w:bCs/>
                <w:sz w:val="24"/>
                <w:lang w:eastAsia="en-US"/>
              </w:rPr>
              <w:t>技术参数</w:t>
            </w:r>
          </w:p>
        </w:tc>
      </w:tr>
      <w:tr w14:paraId="2CDB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14:paraId="7DABFB22">
            <w:pPr>
              <w:numPr>
                <w:ilvl w:val="0"/>
                <w:numId w:val="3"/>
              </w:numPr>
              <w:spacing w:line="360" w:lineRule="auto"/>
              <w:jc w:val="center"/>
              <w:rPr>
                <w:rFonts w:hint="eastAsia" w:ascii="宋体" w:hAnsi="宋体" w:eastAsia="宋体" w:cs="宋体"/>
                <w:sz w:val="21"/>
                <w:szCs w:val="21"/>
                <w:lang w:eastAsia="en-US"/>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5B25FAF0">
            <w:pPr>
              <w:pStyle w:val="11"/>
              <w:spacing w:line="360" w:lineRule="auto"/>
              <w:ind w:firstLine="0" w:firstLineChars="0"/>
              <w:rPr>
                <w:rFonts w:hint="eastAsia" w:ascii="Times New Roman" w:hAnsi="Times New Roman"/>
                <w:sz w:val="24"/>
              </w:rPr>
            </w:pPr>
            <w:r>
              <w:rPr>
                <w:rFonts w:hint="eastAsia" w:ascii="Times New Roman" w:hAnsi="Times New Roman"/>
                <w:sz w:val="24"/>
              </w:rPr>
              <w:t>人工智能训练应用平台</w:t>
            </w:r>
          </w:p>
        </w:tc>
        <w:tc>
          <w:tcPr>
            <w:tcW w:w="6394" w:type="dxa"/>
            <w:tcBorders>
              <w:top w:val="single" w:color="auto" w:sz="4" w:space="0"/>
              <w:left w:val="single" w:color="auto" w:sz="4" w:space="0"/>
              <w:bottom w:val="single" w:color="auto" w:sz="4" w:space="0"/>
              <w:right w:val="single" w:color="auto" w:sz="4" w:space="0"/>
            </w:tcBorders>
            <w:noWrap w:val="0"/>
            <w:vAlign w:val="center"/>
          </w:tcPr>
          <w:p w14:paraId="6A05D3F8">
            <w:pPr>
              <w:pStyle w:val="11"/>
              <w:spacing w:line="360" w:lineRule="auto"/>
              <w:ind w:firstLine="0" w:firstLineChars="0"/>
              <w:rPr>
                <w:rFonts w:ascii="Times New Roman" w:hAnsi="Times New Roman"/>
                <w:sz w:val="24"/>
              </w:rPr>
            </w:pPr>
            <w:r>
              <w:rPr>
                <w:rFonts w:hint="eastAsia" w:ascii="Times New Roman" w:hAnsi="Times New Roman"/>
                <w:sz w:val="24"/>
              </w:rPr>
              <w:t>人工智能训练应用平台包含人机协同数据标注平台和人工智能算法平台，主要用于进行数据处理、图像标注、数据导出、任务管理、模板管理、数据报表与数据评估，同时支持数据集管理、算法调参、模型训练、模型推理与部署、模型下载、数据可视化、在线编程等功能。</w:t>
            </w:r>
          </w:p>
          <w:p w14:paraId="1EBE99C4">
            <w:pPr>
              <w:pStyle w:val="11"/>
              <w:spacing w:line="360" w:lineRule="auto"/>
              <w:ind w:firstLine="0" w:firstLineChars="0"/>
              <w:rPr>
                <w:rFonts w:hint="eastAsia" w:ascii="Times New Roman" w:hAnsi="Times New Roman"/>
                <w:sz w:val="24"/>
              </w:rPr>
            </w:pPr>
            <w:r>
              <w:rPr>
                <w:rFonts w:hint="eastAsia" w:ascii="Times New Roman" w:hAnsi="Times New Roman"/>
                <w:sz w:val="24"/>
              </w:rPr>
              <w:t>一、人机协同数据标注平台</w:t>
            </w:r>
          </w:p>
          <w:p w14:paraId="47D1F2F4">
            <w:pPr>
              <w:pStyle w:val="11"/>
              <w:spacing w:line="360" w:lineRule="auto"/>
              <w:ind w:firstLine="0" w:firstLineChars="0"/>
              <w:rPr>
                <w:rFonts w:hint="eastAsia" w:ascii="Times New Roman" w:hAnsi="Times New Roman"/>
                <w:sz w:val="24"/>
              </w:rPr>
            </w:pPr>
            <w:r>
              <w:rPr>
                <w:rFonts w:hint="eastAsia" w:ascii="Times New Roman" w:hAnsi="Times New Roman"/>
                <w:sz w:val="24"/>
              </w:rPr>
              <w:t>1)主要功能：图像采集、项目管理、数据标注、数据审核、人机协同标注、数据管理、数据导出、任务管理、试标数据、模板管理；</w:t>
            </w:r>
          </w:p>
          <w:p w14:paraId="44BE2A08">
            <w:pPr>
              <w:pStyle w:val="11"/>
              <w:spacing w:line="360" w:lineRule="auto"/>
              <w:ind w:firstLine="0" w:firstLineChars="0"/>
              <w:rPr>
                <w:rFonts w:hint="eastAsia" w:ascii="Times New Roman" w:hAnsi="Times New Roman"/>
                <w:sz w:val="24"/>
              </w:rPr>
            </w:pPr>
            <w:r>
              <w:rPr>
                <w:rFonts w:hint="eastAsia" w:ascii="Times New Roman" w:hAnsi="Times New Roman"/>
                <w:sz w:val="24"/>
              </w:rPr>
              <w:t>2) 数据类型：图像；</w:t>
            </w:r>
          </w:p>
          <w:p w14:paraId="6076606D">
            <w:pPr>
              <w:pStyle w:val="11"/>
              <w:spacing w:line="360" w:lineRule="auto"/>
              <w:ind w:firstLine="0" w:firstLineChars="0"/>
              <w:rPr>
                <w:rFonts w:hint="eastAsia" w:ascii="Times New Roman" w:hAnsi="Times New Roman"/>
                <w:sz w:val="24"/>
              </w:rPr>
            </w:pPr>
            <w:r>
              <w:rPr>
                <w:rFonts w:hint="eastAsia" w:ascii="Times New Roman" w:hAnsi="Times New Roman"/>
                <w:sz w:val="24"/>
              </w:rPr>
              <w:t>3)标注插件。图像类标注插件：支持单标签图像分类、多标签图像分类、目标检测、语义标注、关键点标注、视觉基因等；</w:t>
            </w:r>
          </w:p>
          <w:p w14:paraId="50C0E0DF">
            <w:pPr>
              <w:pStyle w:val="11"/>
              <w:spacing w:line="360" w:lineRule="auto"/>
              <w:ind w:firstLine="0" w:firstLineChars="0"/>
              <w:rPr>
                <w:rFonts w:hint="eastAsia" w:ascii="Times New Roman" w:hAnsi="Times New Roman"/>
                <w:sz w:val="24"/>
              </w:rPr>
            </w:pPr>
            <w:r>
              <w:rPr>
                <w:rFonts w:hint="eastAsia" w:ascii="Times New Roman" w:hAnsi="Times New Roman"/>
                <w:sz w:val="24"/>
              </w:rPr>
              <w:t>4)视频类标注插件：支持视频场景分类标注、多视频场景分类标注视觉时间线分割标注；</w:t>
            </w:r>
          </w:p>
          <w:p w14:paraId="63DFD7BF">
            <w:pPr>
              <w:pStyle w:val="11"/>
              <w:spacing w:line="360" w:lineRule="auto"/>
              <w:ind w:firstLine="0" w:firstLineChars="0"/>
              <w:rPr>
                <w:rFonts w:hint="eastAsia" w:ascii="Times New Roman" w:hAnsi="Times New Roman"/>
                <w:sz w:val="24"/>
              </w:rPr>
            </w:pPr>
            <w:r>
              <w:rPr>
                <w:rFonts w:hint="eastAsia" w:ascii="Times New Roman" w:hAnsi="Times New Roman"/>
                <w:sz w:val="24"/>
              </w:rPr>
              <w:t>5)语音类标注插件：支持语音文本标注、声音事件标注、对话分析标注、意图分类标注；</w:t>
            </w:r>
          </w:p>
          <w:p w14:paraId="4869B76D">
            <w:pPr>
              <w:pStyle w:val="11"/>
              <w:spacing w:line="360" w:lineRule="auto"/>
              <w:ind w:firstLine="0" w:firstLineChars="0"/>
              <w:rPr>
                <w:rFonts w:hint="eastAsia" w:ascii="Times New Roman" w:hAnsi="Times New Roman"/>
                <w:sz w:val="24"/>
              </w:rPr>
            </w:pPr>
            <w:r>
              <w:rPr>
                <w:rFonts w:hint="eastAsia" w:ascii="Times New Roman" w:hAnsi="Times New Roman"/>
                <w:sz w:val="24"/>
              </w:rPr>
              <w:t>6)提供丰富标注工具。任务标注功能可以满足对标注资源进行数据标注，包含标注工具、移动工具、编辑工具、拖拽工具、放大工具、缩小工具、保存工具、提交工具、预览工具、筛选工具、视图布局工具等；</w:t>
            </w:r>
          </w:p>
          <w:p w14:paraId="11C49DD3">
            <w:pPr>
              <w:pStyle w:val="11"/>
              <w:spacing w:line="360" w:lineRule="auto"/>
              <w:ind w:firstLine="0" w:firstLineChars="0"/>
              <w:rPr>
                <w:rFonts w:hint="eastAsia" w:ascii="Times New Roman" w:hAnsi="Times New Roman"/>
                <w:sz w:val="24"/>
              </w:rPr>
            </w:pPr>
            <w:r>
              <w:rPr>
                <w:rFonts w:hint="eastAsia" w:ascii="Times New Roman" w:hAnsi="Times New Roman"/>
                <w:sz w:val="24"/>
              </w:rPr>
              <w:t>7)支持人机协同标注,支持标注员和审核员对任务进行标注，支持不同的人工智能算法，支持导入预训练机器学习模型，由机器对数据进行标注，人工校准交替式进行；</w:t>
            </w:r>
          </w:p>
          <w:p w14:paraId="168A9DA6">
            <w:pPr>
              <w:pStyle w:val="11"/>
              <w:spacing w:line="360" w:lineRule="auto"/>
              <w:ind w:firstLine="0" w:firstLineChars="0"/>
              <w:rPr>
                <w:rFonts w:hint="eastAsia" w:ascii="Times New Roman" w:hAnsi="Times New Roman"/>
                <w:sz w:val="24"/>
              </w:rPr>
            </w:pPr>
            <w:r>
              <w:rPr>
                <w:rFonts w:hint="eastAsia" w:ascii="Times New Roman" w:hAnsi="Times New Roman"/>
                <w:sz w:val="24"/>
              </w:rPr>
              <w:t>8)日志信息：支持登录、数据传输、结果下载、数据删除、标注等信息日志统计；</w:t>
            </w:r>
          </w:p>
          <w:p w14:paraId="747A4D0E">
            <w:pPr>
              <w:pStyle w:val="11"/>
              <w:spacing w:line="360" w:lineRule="auto"/>
              <w:ind w:firstLine="0" w:firstLineChars="0"/>
              <w:rPr>
                <w:rFonts w:hint="eastAsia" w:ascii="Times New Roman" w:hAnsi="Times New Roman"/>
                <w:sz w:val="24"/>
              </w:rPr>
            </w:pPr>
            <w:r>
              <w:rPr>
                <w:rFonts w:hint="eastAsia" w:ascii="Times New Roman" w:hAnsi="Times New Roman"/>
                <w:sz w:val="24"/>
              </w:rPr>
              <w:t>9)支持数据导入功能，支持多种数据类型导入，涵盖图像、视频、文本、HTML等数据结构，支持网页一键拖拽上传，支持单文件多文件上传方式，支持txt、wave、aiff、mp3、jpg、png、gif、bmp、svg、csv、tsv等数据格式，同一个项目支持同类型不同格式的文件混合上传；支持通过网页URL实现网络开源数据集打包上传。</w:t>
            </w:r>
          </w:p>
          <w:p w14:paraId="4E80E487">
            <w:pPr>
              <w:pStyle w:val="11"/>
              <w:spacing w:line="360" w:lineRule="auto"/>
              <w:ind w:firstLine="0" w:firstLineChars="0"/>
              <w:rPr>
                <w:rFonts w:hint="eastAsia" w:ascii="Times New Roman" w:hAnsi="Times New Roman"/>
                <w:sz w:val="24"/>
              </w:rPr>
            </w:pPr>
            <w:r>
              <w:rPr>
                <w:rFonts w:hint="eastAsia" w:ascii="Times New Roman" w:hAnsi="Times New Roman"/>
                <w:sz w:val="24"/>
              </w:rPr>
              <w:t>二、人工智能算法平台</w:t>
            </w:r>
          </w:p>
          <w:p w14:paraId="1706D9F4">
            <w:pPr>
              <w:pStyle w:val="11"/>
              <w:spacing w:line="360" w:lineRule="auto"/>
              <w:ind w:firstLine="0" w:firstLineChars="0"/>
              <w:rPr>
                <w:rFonts w:hint="eastAsia" w:ascii="Times New Roman" w:hAnsi="Times New Roman"/>
                <w:sz w:val="24"/>
              </w:rPr>
            </w:pPr>
            <w:r>
              <w:rPr>
                <w:rFonts w:hint="eastAsia" w:ascii="Times New Roman" w:hAnsi="Times New Roman"/>
                <w:sz w:val="24"/>
              </w:rPr>
              <w:t>1)支持数据集管理、算法调参、模型训练、模型推理与部署、模型下载、镜像管理、数据可视化、在线编程等功能。</w:t>
            </w:r>
          </w:p>
          <w:p w14:paraId="7A7F389B">
            <w:pPr>
              <w:pStyle w:val="11"/>
              <w:spacing w:line="360" w:lineRule="auto"/>
              <w:ind w:firstLine="0" w:firstLineChars="0"/>
              <w:rPr>
                <w:rFonts w:hint="eastAsia" w:ascii="Times New Roman" w:hAnsi="Times New Roman"/>
                <w:sz w:val="24"/>
              </w:rPr>
            </w:pPr>
            <w:r>
              <w:rPr>
                <w:rFonts w:hint="eastAsia" w:ascii="Times New Roman" w:hAnsi="Times New Roman"/>
                <w:sz w:val="24"/>
              </w:rPr>
              <w:t>2)集成tensorflow、pytorch、PaddlePaddle等多种深度学习框架，支持同个框架不同版本的切换，可一键切换不同的算力架构调度；</w:t>
            </w:r>
          </w:p>
          <w:p w14:paraId="24E0CBB0">
            <w:pPr>
              <w:pStyle w:val="11"/>
              <w:spacing w:line="360" w:lineRule="auto"/>
              <w:ind w:firstLine="0" w:firstLineChars="0"/>
              <w:rPr>
                <w:rFonts w:hint="eastAsia" w:ascii="Times New Roman" w:hAnsi="Times New Roman"/>
                <w:sz w:val="24"/>
              </w:rPr>
            </w:pPr>
            <w:r>
              <w:rPr>
                <w:rFonts w:hint="eastAsia" w:ascii="Times New Roman" w:hAnsi="Times New Roman"/>
                <w:sz w:val="24"/>
              </w:rPr>
              <w:t>3)算法调参：可选择任意一种算法，并对算法训练的参数进行调整。另还可对模型参数进行调整，如模型的尺寸，模型的类型等；提供jupyter notebook在线代码交互功能，每个用户可分配一个独立的jupyter notebook环境，该环境下的数据集、代码、模型等数据及算力与其他用户存在数据隔离；支持调用和复现任务预置的代码和数据集，可按照任务内容步骤一步步完成实训任务，同时也支持用户根据想法创建代码文件及数据集并进行运行结果校验实训；</w:t>
            </w:r>
          </w:p>
          <w:p w14:paraId="491A5B97">
            <w:pPr>
              <w:pStyle w:val="11"/>
              <w:spacing w:line="360" w:lineRule="auto"/>
              <w:ind w:firstLine="0" w:firstLineChars="0"/>
              <w:rPr>
                <w:rFonts w:hint="eastAsia" w:ascii="Times New Roman" w:hAnsi="Times New Roman"/>
                <w:sz w:val="24"/>
              </w:rPr>
            </w:pPr>
            <w:r>
              <w:rPr>
                <w:rFonts w:hint="eastAsia" w:ascii="Times New Roman" w:hAnsi="Times New Roman"/>
                <w:sz w:val="24"/>
              </w:rPr>
              <w:t>4)算法部署：支持远程连接无人驾驶小车，下发模型部署文件到设备终端进行校验；</w:t>
            </w:r>
          </w:p>
          <w:p w14:paraId="6E42682C">
            <w:pPr>
              <w:pStyle w:val="11"/>
              <w:spacing w:line="360" w:lineRule="auto"/>
              <w:ind w:firstLine="0" w:firstLineChars="0"/>
              <w:rPr>
                <w:rFonts w:hint="eastAsia" w:ascii="Times New Roman" w:hAnsi="Times New Roman"/>
                <w:sz w:val="24"/>
              </w:rPr>
            </w:pPr>
            <w:r>
              <w:rPr>
                <w:rFonts w:hint="eastAsia" w:ascii="Times New Roman" w:hAnsi="Times New Roman"/>
                <w:sz w:val="24"/>
              </w:rPr>
              <w:t>5)镜像管理：支持指定镜像算力限制要求，包括CPU、GPU、内存限制参数；支持指定Python环境版本，提供Python2.x及Python3.x版本选择；支持不同的深度框架的选择，内置tensorflow、pytorch、paddlepaddle的框架选项，同时支持其他框架及其他版本的指定；支持基础环境包的安装，基础安装包包含了人工智能开发常见的环境包，可满足计算机视觉、智能语音、自然语言处理等开发要求；支持自定义软件安装，提供pip和conda两种安装方式，用户可按要求指定软件名称和版本号进行创建；支持创建过程的日志预览输出，监控镜像创建过程；</w:t>
            </w:r>
          </w:p>
          <w:p w14:paraId="5294D7E2">
            <w:pPr>
              <w:pStyle w:val="11"/>
              <w:spacing w:line="360" w:lineRule="auto"/>
              <w:ind w:firstLine="0" w:firstLineChars="0"/>
              <w:rPr>
                <w:rFonts w:hint="eastAsia" w:ascii="Times New Roman" w:hAnsi="Times New Roman"/>
                <w:sz w:val="24"/>
              </w:rPr>
            </w:pPr>
            <w:r>
              <w:rPr>
                <w:rFonts w:hint="eastAsia" w:ascii="Times New Roman" w:hAnsi="Times New Roman"/>
                <w:sz w:val="24"/>
              </w:rPr>
              <w:t>6)虚拟桌面：内置Linux桌面级操作系统，每个用户的桌面环境相互隔离；支持在云桌面内调用Linux终端窗口进行完整的Linux指令操作；内置主流常见的人工智能开发IDE，支持使用Pycharm、VS code进行项目及代码开发；支持主动算力回收验证，当检测用户退出当前云桌面窗口会进行自动注销云桌面提示，避免算力环境分配后长时间挂起；</w:t>
            </w:r>
          </w:p>
          <w:p w14:paraId="480172CF">
            <w:pPr>
              <w:pStyle w:val="11"/>
              <w:spacing w:line="360" w:lineRule="auto"/>
              <w:ind w:firstLine="0" w:firstLineChars="0"/>
              <w:rPr>
                <w:rFonts w:hint="eastAsia" w:ascii="Times New Roman" w:hAnsi="Times New Roman"/>
                <w:sz w:val="24"/>
              </w:rPr>
            </w:pPr>
            <w:r>
              <w:rPr>
                <w:rFonts w:hint="eastAsia" w:ascii="Times New Roman" w:hAnsi="Times New Roman"/>
                <w:sz w:val="24"/>
              </w:rPr>
              <w:t>7)算法训练可视化：集成算法训练可视化面板，实时显示训练过程的动态表格，支持监控模型的各种指标的变化（如acc、loss的动态变化）；</w:t>
            </w:r>
          </w:p>
          <w:p w14:paraId="3ADBEF89">
            <w:pPr>
              <w:pStyle w:val="11"/>
              <w:spacing w:line="360" w:lineRule="auto"/>
              <w:ind w:firstLine="0" w:firstLineChars="0"/>
              <w:rPr>
                <w:rFonts w:hint="eastAsia" w:ascii="Times New Roman" w:hAnsi="Times New Roman"/>
                <w:sz w:val="24"/>
              </w:rPr>
            </w:pPr>
            <w:r>
              <w:rPr>
                <w:rFonts w:hint="eastAsia" w:ascii="Times New Roman" w:hAnsi="Times New Roman"/>
                <w:sz w:val="24"/>
              </w:rPr>
              <w:t>8)用户管理：兼容人机协同数据标注平台用户账号，数据集可直接导入算法平台中，支持本地上传文件及在线URL上传；</w:t>
            </w:r>
          </w:p>
          <w:p w14:paraId="006CE0D2">
            <w:pPr>
              <w:pStyle w:val="11"/>
              <w:spacing w:line="360" w:lineRule="auto"/>
              <w:ind w:firstLine="0" w:firstLineChars="0"/>
              <w:rPr>
                <w:rFonts w:hint="eastAsia" w:ascii="Times New Roman" w:hAnsi="Times New Roman"/>
                <w:sz w:val="24"/>
              </w:rPr>
            </w:pPr>
            <w:r>
              <w:rPr>
                <w:rFonts w:hint="eastAsia" w:ascii="Times New Roman" w:hAnsi="Times New Roman"/>
                <w:sz w:val="24"/>
              </w:rPr>
              <w:t>9)支持jupyter notebook在线代码交互功能，支持在实训控制台中直接进入由人工智能算法平台创建的虚拟实训环境。</w:t>
            </w:r>
          </w:p>
          <w:p w14:paraId="566BF4C3">
            <w:pPr>
              <w:pStyle w:val="11"/>
              <w:spacing w:line="360" w:lineRule="auto"/>
              <w:ind w:firstLine="0" w:firstLineChars="0"/>
              <w:rPr>
                <w:rFonts w:hint="eastAsia" w:ascii="Times New Roman" w:hAnsi="Times New Roman"/>
                <w:sz w:val="24"/>
              </w:rPr>
            </w:pPr>
            <w:r>
              <w:rPr>
                <w:rFonts w:hint="eastAsia" w:ascii="Times New Roman" w:hAnsi="Times New Roman"/>
                <w:sz w:val="24"/>
              </w:rPr>
              <w:t>10)支持在线代码环境切换功能，支持一键切换当前人工智能开发实训环境，支持切换预置的不同人工智能深度学习框架，包括Tensorflow、Pytorch、Paddlepaddle；支持切换预置的同一框架不同版本；支持无感知切换CPU、GPU的算力配置环境。</w:t>
            </w:r>
          </w:p>
          <w:p w14:paraId="629F4945">
            <w:pPr>
              <w:pStyle w:val="11"/>
              <w:spacing w:line="360" w:lineRule="auto"/>
              <w:ind w:firstLine="0" w:firstLineChars="0"/>
              <w:rPr>
                <w:rFonts w:hint="eastAsia" w:ascii="Times New Roman" w:hAnsi="Times New Roman"/>
                <w:sz w:val="24"/>
              </w:rPr>
            </w:pPr>
            <w:r>
              <w:rPr>
                <w:rFonts w:hint="eastAsia" w:ascii="Times New Roman" w:hAnsi="Times New Roman"/>
                <w:sz w:val="24"/>
              </w:rPr>
              <w:t>11)支持云边端一体化实训实验模式，支持通过无线直连的方式与无人驾驶小车等端侧智能硬件进行连接。</w:t>
            </w:r>
          </w:p>
        </w:tc>
      </w:tr>
      <w:tr w14:paraId="5F6C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14:paraId="5EA53F61">
            <w:pPr>
              <w:pStyle w:val="11"/>
              <w:numPr>
                <w:ilvl w:val="0"/>
                <w:numId w:val="3"/>
              </w:numPr>
              <w:spacing w:line="360" w:lineRule="auto"/>
              <w:ind w:firstLineChars="0"/>
              <w:jc w:val="center"/>
              <w:rPr>
                <w:rFonts w:hint="eastAsia" w:ascii="Times New Roman" w:hAnsi="Times New Roman"/>
                <w:sz w:val="24"/>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6C3E8D20">
            <w:pPr>
              <w:pStyle w:val="11"/>
              <w:spacing w:line="360" w:lineRule="auto"/>
              <w:ind w:firstLine="0" w:firstLineChars="0"/>
              <w:jc w:val="center"/>
              <w:rPr>
                <w:rFonts w:hint="eastAsia" w:ascii="Times New Roman" w:hAnsi="Times New Roman"/>
                <w:sz w:val="24"/>
              </w:rPr>
            </w:pPr>
            <w:r>
              <w:rPr>
                <w:rFonts w:hint="eastAsia" w:ascii="Times New Roman" w:hAnsi="Times New Roman"/>
                <w:sz w:val="24"/>
              </w:rPr>
              <w:t>无人驾驶小车</w:t>
            </w:r>
          </w:p>
        </w:tc>
        <w:tc>
          <w:tcPr>
            <w:tcW w:w="6394" w:type="dxa"/>
            <w:tcBorders>
              <w:top w:val="single" w:color="auto" w:sz="4" w:space="0"/>
              <w:left w:val="single" w:color="auto" w:sz="4" w:space="0"/>
              <w:bottom w:val="single" w:color="auto" w:sz="4" w:space="0"/>
              <w:right w:val="single" w:color="auto" w:sz="4" w:space="0"/>
            </w:tcBorders>
            <w:noWrap w:val="0"/>
            <w:vAlign w:val="center"/>
          </w:tcPr>
          <w:p w14:paraId="4C277BC0">
            <w:pPr>
              <w:pStyle w:val="11"/>
              <w:spacing w:line="360" w:lineRule="auto"/>
              <w:ind w:firstLine="0" w:firstLineChars="0"/>
              <w:rPr>
                <w:rFonts w:hint="eastAsia" w:ascii="Times New Roman" w:hAnsi="Times New Roman"/>
                <w:sz w:val="24"/>
              </w:rPr>
            </w:pPr>
            <w:r>
              <w:rPr>
                <w:rFonts w:hint="eastAsia" w:ascii="Times New Roman" w:hAnsi="Times New Roman"/>
                <w:sz w:val="24"/>
              </w:rPr>
              <w:t>1）无人驾驶小车是一款搭载开放能力的软硬一体化人工智能开发平台，集成英伟达高性能GPU计算处理单元、深度摄像头模组、全向麦克风阵列模组、激光雷达模组、超声波模组、一体化高清触摸大屏等高性能部件，全面涵盖了视觉识别、语音识别、NLP语义理解、智能运动控制等先进技术，可支持完成激光建图与导航、纯视觉建图与导航、智能巡航、智能避障等功能开发，系统模拟真实的人工智能智慧交通场景，可应用于园区安防、电力巡检、无人配送等丰富场景，满足面向教育侧实训应用开发、竞赛实操应用及产业级应用开发需求。</w:t>
            </w:r>
          </w:p>
          <w:p w14:paraId="69D34258">
            <w:pPr>
              <w:pStyle w:val="11"/>
              <w:spacing w:line="360" w:lineRule="auto"/>
              <w:ind w:firstLine="0" w:firstLineChars="0"/>
              <w:rPr>
                <w:rFonts w:hint="eastAsia" w:ascii="Times New Roman" w:hAnsi="Times New Roman"/>
                <w:sz w:val="24"/>
              </w:rPr>
            </w:pPr>
            <w:r>
              <w:rPr>
                <w:rFonts w:hint="eastAsia" w:ascii="Times New Roman" w:hAnsi="Times New Roman"/>
                <w:sz w:val="24"/>
              </w:rPr>
              <w:t>2）无人驾驶小车可独立支持覆盖人工智能开发全流程，基于机身搭载的摄像头、激光雷达等多模态传感及高性能GPU计算性能，可完全单机实现数据采集、数据标注、模型训练、模型部署、模型验证及应用全流程开发。</w:t>
            </w:r>
          </w:p>
          <w:p w14:paraId="381A4A2C">
            <w:pPr>
              <w:pStyle w:val="11"/>
              <w:spacing w:line="360" w:lineRule="auto"/>
              <w:ind w:firstLine="0" w:firstLineChars="0"/>
              <w:rPr>
                <w:rFonts w:hint="eastAsia" w:ascii="Times New Roman" w:hAnsi="Times New Roman"/>
                <w:sz w:val="24"/>
              </w:rPr>
            </w:pPr>
            <w:r>
              <w:rPr>
                <w:rFonts w:hint="eastAsia" w:ascii="Times New Roman" w:hAnsi="Times New Roman"/>
                <w:sz w:val="24"/>
              </w:rPr>
              <w:t>3）支持人工智能深度学习应用，可兼容支持Pytorch、Tensorflow等主流深度学习框架，支持计算机视觉、语音识别、NLP自然语言处理、机器学习、知识图谱等主流工具包或库。</w:t>
            </w:r>
          </w:p>
          <w:p w14:paraId="005E89E6">
            <w:pPr>
              <w:pStyle w:val="11"/>
              <w:spacing w:line="360" w:lineRule="auto"/>
              <w:ind w:firstLine="0" w:firstLineChars="0"/>
              <w:rPr>
                <w:rFonts w:hint="eastAsia" w:ascii="Times New Roman" w:hAnsi="Times New Roman"/>
                <w:sz w:val="24"/>
              </w:rPr>
            </w:pPr>
            <w:r>
              <w:rPr>
                <w:rFonts w:hint="eastAsia" w:ascii="Times New Roman" w:hAnsi="Times New Roman"/>
                <w:sz w:val="24"/>
              </w:rPr>
              <w:t>4）无人驾驶小车提供开放的软硬件应用接口，支持用户进行二次开发，包括深度摄像头模组、RGB摄像头模组、全向麦克风阵列、超声波模组、激光雷达的等硬件调用。</w:t>
            </w:r>
          </w:p>
          <w:p w14:paraId="46385507">
            <w:pPr>
              <w:pStyle w:val="11"/>
              <w:spacing w:line="360" w:lineRule="auto"/>
              <w:ind w:firstLine="0" w:firstLineChars="0"/>
              <w:rPr>
                <w:rFonts w:hint="eastAsia" w:ascii="Times New Roman" w:hAnsi="Times New Roman"/>
                <w:sz w:val="24"/>
              </w:rPr>
            </w:pPr>
            <w:r>
              <w:rPr>
                <w:rFonts w:hint="eastAsia" w:ascii="Times New Roman" w:hAnsi="Times New Roman"/>
                <w:sz w:val="24"/>
              </w:rPr>
              <w:t>5）无人驾驶小车可支持直接通过人工智能算法平台实现设备设施的远程连接，利用实训平台的代码开发环境进行AI开发应用，实现云边端一体化协同开发体系。</w:t>
            </w:r>
          </w:p>
          <w:p w14:paraId="726AF20B">
            <w:pPr>
              <w:pStyle w:val="11"/>
              <w:spacing w:line="360" w:lineRule="auto"/>
              <w:ind w:firstLine="0" w:firstLineChars="0"/>
              <w:rPr>
                <w:rFonts w:hint="eastAsia" w:ascii="Times New Roman" w:hAnsi="Times New Roman"/>
                <w:sz w:val="24"/>
              </w:rPr>
            </w:pPr>
            <w:r>
              <w:rPr>
                <w:rFonts w:hint="eastAsia" w:ascii="Times New Roman" w:hAnsi="Times New Roman"/>
                <w:sz w:val="24"/>
              </w:rPr>
              <w:t>6）无人驾驶小车采用目前广泛应用的标准阿克曼结构，采用全金属加工底盘，支持实现灵活、精准的运动效果。</w:t>
            </w:r>
          </w:p>
          <w:p w14:paraId="1F6EF226">
            <w:pPr>
              <w:pStyle w:val="11"/>
              <w:spacing w:line="360" w:lineRule="auto"/>
              <w:ind w:firstLine="0" w:firstLineChars="0"/>
              <w:rPr>
                <w:rFonts w:hint="eastAsia" w:ascii="Times New Roman" w:hAnsi="Times New Roman"/>
                <w:sz w:val="24"/>
              </w:rPr>
            </w:pPr>
            <w:r>
              <w:rPr>
                <w:rFonts w:hint="eastAsia" w:ascii="Times New Roman" w:hAnsi="Times New Roman"/>
                <w:sz w:val="24"/>
              </w:rPr>
              <w:t>7）预装Ubuntu开发系统，内置完整的英伟达Jetpack SDK开发套件，包含用于深度学习、计算机视觉、加速计算和多媒体的开发库，满足图像分类、分割和物体检测等神经网络的高性能深度学习边端推理运行，可让人工智能推理应用实现低延迟和高吞吐量。</w:t>
            </w:r>
          </w:p>
          <w:p w14:paraId="128BE324">
            <w:pPr>
              <w:pStyle w:val="11"/>
              <w:spacing w:line="360" w:lineRule="auto"/>
              <w:ind w:firstLine="0" w:firstLineChars="0"/>
              <w:rPr>
                <w:rFonts w:hint="eastAsia" w:ascii="Times New Roman" w:hAnsi="Times New Roman"/>
                <w:sz w:val="24"/>
              </w:rPr>
            </w:pPr>
            <w:r>
              <w:rPr>
                <w:rFonts w:hint="eastAsia" w:ascii="Times New Roman" w:hAnsi="Times New Roman"/>
                <w:sz w:val="24"/>
              </w:rPr>
              <w:t>8）无人驾驶小车预装完整的ROS机器人操作系统，内置丰富的开源工具库供用户调用，如控制、规划、感知、地图、导航等；内置丰富的开发调试工具帮助用户提高开发效率，如模拟器、调试工具包、日志管理工具包。系统支持多种不同的语言进行调用开发，包括C++、Python、Java等多种接口实现。</w:t>
            </w:r>
          </w:p>
          <w:p w14:paraId="3048B3DE">
            <w:pPr>
              <w:pStyle w:val="11"/>
              <w:spacing w:line="360" w:lineRule="auto"/>
              <w:ind w:firstLine="0" w:firstLineChars="0"/>
              <w:rPr>
                <w:rFonts w:hint="eastAsia" w:ascii="Times New Roman" w:hAnsi="Times New Roman"/>
                <w:sz w:val="24"/>
              </w:rPr>
            </w:pPr>
            <w:r>
              <w:rPr>
                <w:rFonts w:hint="eastAsia" w:ascii="Times New Roman" w:hAnsi="Times New Roman"/>
                <w:sz w:val="24"/>
              </w:rPr>
              <w:t>9）系统内置图形化ROS QT界面，可实现无代码化一键打开ROS功能，可直接调用系统的深度摄像头，并直观地获取小车速度、电量等信息的反馈。</w:t>
            </w:r>
          </w:p>
          <w:p w14:paraId="0CFDE71F">
            <w:pPr>
              <w:pStyle w:val="11"/>
              <w:spacing w:line="360" w:lineRule="auto"/>
              <w:ind w:firstLine="0" w:firstLineChars="0"/>
              <w:rPr>
                <w:rFonts w:hint="eastAsia" w:ascii="Times New Roman" w:hAnsi="Times New Roman"/>
                <w:sz w:val="24"/>
              </w:rPr>
            </w:pPr>
            <w:r>
              <w:rPr>
                <w:rFonts w:hint="eastAsia" w:ascii="Times New Roman" w:hAnsi="Times New Roman"/>
                <w:sz w:val="24"/>
              </w:rPr>
              <w:t>10）无人驾驶小车基于ROS melodic提供一键运行的应用案例，包括多机通信、键盘控制机器人运动控制、激光雷达跟随、建图导航、实时图传等案例，内置的应用案例均提供可源码文件，部分案例如下：</w:t>
            </w:r>
          </w:p>
          <w:p w14:paraId="3E496941">
            <w:pPr>
              <w:pStyle w:val="11"/>
              <w:spacing w:line="360" w:lineRule="auto"/>
              <w:ind w:firstLine="0" w:firstLineChars="0"/>
              <w:rPr>
                <w:rFonts w:hint="eastAsia" w:ascii="Times New Roman" w:hAnsi="Times New Roman"/>
                <w:sz w:val="24"/>
              </w:rPr>
            </w:pPr>
            <w:r>
              <w:rPr>
                <w:rFonts w:hint="eastAsia" w:ascii="Times New Roman" w:hAnsi="Times New Roman"/>
                <w:sz w:val="24"/>
              </w:rPr>
              <w:t>①多机通信：支持无人驾驶小车作为ROS主机发射热点，用户客户端作为从机进行组网；支持无人驾驶小车与客户服务端连接同一个网络实现主从机关系，适用于多机器人联机通信的应用场景；</w:t>
            </w:r>
          </w:p>
          <w:p w14:paraId="60464D92">
            <w:pPr>
              <w:pStyle w:val="11"/>
              <w:spacing w:line="360" w:lineRule="auto"/>
              <w:ind w:firstLine="0" w:firstLineChars="0"/>
              <w:rPr>
                <w:rFonts w:hint="eastAsia" w:ascii="Times New Roman" w:hAnsi="Times New Roman"/>
                <w:sz w:val="24"/>
              </w:rPr>
            </w:pPr>
            <w:r>
              <w:rPr>
                <w:rFonts w:hint="eastAsia" w:ascii="Times New Roman" w:hAnsi="Times New Roman"/>
                <w:sz w:val="24"/>
              </w:rPr>
              <w:t>②激光雷达跟随：利用激光雷达360°实时扫描环境，自动跟随最近的物体并可动态实现跟随物体的切换，系统支持rqt可视化在线调参；</w:t>
            </w:r>
          </w:p>
          <w:p w14:paraId="4B6D3210">
            <w:pPr>
              <w:pStyle w:val="11"/>
              <w:spacing w:line="360" w:lineRule="auto"/>
              <w:ind w:firstLine="0" w:firstLineChars="0"/>
              <w:rPr>
                <w:rFonts w:hint="eastAsia" w:ascii="Times New Roman" w:hAnsi="Times New Roman"/>
                <w:sz w:val="24"/>
              </w:rPr>
            </w:pPr>
            <w:r>
              <w:rPr>
                <w:rFonts w:hint="eastAsia" w:ascii="Times New Roman" w:hAnsi="Times New Roman"/>
                <w:sz w:val="24"/>
              </w:rPr>
              <w:t>③建图导航：支持使用激光SLAM实现2D建图导航以及使用视觉SLAM混合激光SLAM的方式并行实现3D建图导航，3D建图包含点云图层及2D地图图层，地图支持可视化浏览；</w:t>
            </w:r>
          </w:p>
          <w:p w14:paraId="0DAB16C0">
            <w:pPr>
              <w:pStyle w:val="11"/>
              <w:spacing w:line="360" w:lineRule="auto"/>
              <w:ind w:firstLine="0" w:firstLineChars="0"/>
              <w:rPr>
                <w:rFonts w:hint="eastAsia" w:ascii="Times New Roman" w:hAnsi="Times New Roman"/>
                <w:sz w:val="24"/>
              </w:rPr>
            </w:pPr>
            <w:r>
              <w:rPr>
                <w:rFonts w:hint="eastAsia" w:ascii="Times New Roman" w:hAnsi="Times New Roman"/>
                <w:sz w:val="24"/>
              </w:rPr>
              <w:t>④实时图传：支持以无人驾驶小车作为图传服务端实现网页视频实时监控，可将设备的摄像头拍摄的原始视频流通过局域网实时传输到网页端；支持动态实时视频流和单帧快照拍摄，并支持显示rgb图像及深度图像。</w:t>
            </w:r>
          </w:p>
          <w:p w14:paraId="7433A4F8">
            <w:pPr>
              <w:pStyle w:val="11"/>
              <w:spacing w:line="360" w:lineRule="auto"/>
              <w:ind w:firstLine="0" w:firstLineChars="0"/>
              <w:rPr>
                <w:rFonts w:hint="eastAsia" w:ascii="Times New Roman" w:hAnsi="Times New Roman"/>
                <w:sz w:val="24"/>
              </w:rPr>
            </w:pPr>
            <w:r>
              <w:rPr>
                <w:rFonts w:hint="eastAsia" w:ascii="Times New Roman" w:hAnsi="Times New Roman"/>
                <w:sz w:val="24"/>
              </w:rPr>
              <w:t>11）无人驾驶小车使用整机金属框架设计，提供模块化可拆卸的框架，可进行二次开发的机构调整，整体长宽高尺寸为457*360*339mm，轮直径152mm，转弯半径770mm。</w:t>
            </w:r>
          </w:p>
          <w:p w14:paraId="58CDF7EA">
            <w:pPr>
              <w:pStyle w:val="11"/>
              <w:spacing w:line="360" w:lineRule="auto"/>
              <w:ind w:firstLine="0" w:firstLineChars="0"/>
              <w:rPr>
                <w:rFonts w:hint="eastAsia" w:ascii="Times New Roman" w:hAnsi="Times New Roman"/>
                <w:sz w:val="24"/>
              </w:rPr>
            </w:pPr>
            <w:r>
              <w:rPr>
                <w:rFonts w:hint="eastAsia" w:ascii="Times New Roman" w:hAnsi="Times New Roman"/>
                <w:sz w:val="24"/>
              </w:rPr>
              <w:t>12）中央处理器</w:t>
            </w:r>
          </w:p>
          <w:p w14:paraId="51F58994">
            <w:pPr>
              <w:pStyle w:val="11"/>
              <w:spacing w:line="360" w:lineRule="auto"/>
              <w:ind w:firstLine="0" w:firstLineChars="0"/>
              <w:rPr>
                <w:rFonts w:hint="eastAsia" w:ascii="Times New Roman" w:hAnsi="Times New Roman"/>
                <w:sz w:val="24"/>
              </w:rPr>
            </w:pPr>
            <w:r>
              <w:rPr>
                <w:rFonts w:hint="eastAsia" w:ascii="Times New Roman" w:hAnsi="Times New Roman"/>
                <w:sz w:val="24"/>
              </w:rPr>
              <w:t>①功耗：15W；</w:t>
            </w:r>
          </w:p>
          <w:p w14:paraId="4476BD31">
            <w:pPr>
              <w:pStyle w:val="11"/>
              <w:spacing w:line="360" w:lineRule="auto"/>
              <w:ind w:firstLine="0" w:firstLineChars="0"/>
              <w:rPr>
                <w:rFonts w:hint="eastAsia" w:ascii="Times New Roman" w:hAnsi="Times New Roman"/>
                <w:sz w:val="24"/>
              </w:rPr>
            </w:pPr>
            <w:r>
              <w:rPr>
                <w:rFonts w:hint="eastAsia" w:ascii="Times New Roman" w:hAnsi="Times New Roman"/>
                <w:sz w:val="24"/>
              </w:rPr>
              <w:t>②供电：12V；</w:t>
            </w:r>
          </w:p>
          <w:p w14:paraId="1A05D1A2">
            <w:pPr>
              <w:pStyle w:val="11"/>
              <w:spacing w:line="360" w:lineRule="auto"/>
              <w:ind w:firstLine="0" w:firstLineChars="0"/>
              <w:rPr>
                <w:rFonts w:hint="eastAsia" w:ascii="Times New Roman" w:hAnsi="Times New Roman"/>
                <w:sz w:val="24"/>
              </w:rPr>
            </w:pPr>
            <w:r>
              <w:rPr>
                <w:rFonts w:hint="eastAsia" w:ascii="Times New Roman" w:hAnsi="Times New Roman"/>
                <w:sz w:val="24"/>
              </w:rPr>
              <w:t>③CPU：核心数4核，主频1.5GHz，64位；</w:t>
            </w:r>
          </w:p>
          <w:p w14:paraId="0F24B298">
            <w:pPr>
              <w:pStyle w:val="11"/>
              <w:spacing w:line="360" w:lineRule="auto"/>
              <w:ind w:firstLine="0" w:firstLineChars="0"/>
              <w:rPr>
                <w:rFonts w:hint="eastAsia" w:ascii="Times New Roman" w:hAnsi="Times New Roman"/>
                <w:sz w:val="24"/>
              </w:rPr>
            </w:pPr>
            <w:r>
              <w:rPr>
                <w:rFonts w:hint="eastAsia" w:ascii="Times New Roman" w:hAnsi="Times New Roman"/>
                <w:sz w:val="24"/>
              </w:rPr>
              <w:t>④运行内存：RAM容量4GB LPDDR4；</w:t>
            </w:r>
          </w:p>
          <w:p w14:paraId="11309F9A">
            <w:pPr>
              <w:pStyle w:val="11"/>
              <w:spacing w:line="360" w:lineRule="auto"/>
              <w:ind w:firstLine="0" w:firstLineChars="0"/>
              <w:rPr>
                <w:rFonts w:hint="eastAsia" w:ascii="Times New Roman" w:hAnsi="Times New Roman"/>
                <w:sz w:val="24"/>
              </w:rPr>
            </w:pPr>
            <w:r>
              <w:rPr>
                <w:rFonts w:hint="eastAsia" w:ascii="Times New Roman" w:hAnsi="Times New Roman"/>
                <w:sz w:val="24"/>
              </w:rPr>
              <w:t>⑤磁盘内存： 不小于SSD 64GB；</w:t>
            </w:r>
          </w:p>
          <w:p w14:paraId="480BE05F">
            <w:pPr>
              <w:pStyle w:val="11"/>
              <w:spacing w:line="360" w:lineRule="auto"/>
              <w:ind w:firstLine="0" w:firstLineChars="0"/>
              <w:rPr>
                <w:rFonts w:hint="eastAsia" w:ascii="Times New Roman" w:hAnsi="Times New Roman"/>
                <w:sz w:val="24"/>
              </w:rPr>
            </w:pPr>
            <w:r>
              <w:rPr>
                <w:rFonts w:hint="eastAsia" w:ascii="Times New Roman" w:hAnsi="Times New Roman"/>
                <w:sz w:val="24"/>
              </w:rPr>
              <w:t>⑥外设接口：40PIN接口（32个GPIO、4个I2C、2个SPI、3个UART）、4个通用串行USB接口，1个HDMI接口，1个千兆网路接口，1个CAN接口；</w:t>
            </w:r>
          </w:p>
          <w:p w14:paraId="64D7131A">
            <w:pPr>
              <w:pStyle w:val="11"/>
              <w:spacing w:line="360" w:lineRule="auto"/>
              <w:ind w:firstLine="0" w:firstLineChars="0"/>
              <w:rPr>
                <w:rFonts w:hint="eastAsia" w:ascii="Times New Roman" w:hAnsi="Times New Roman"/>
                <w:sz w:val="24"/>
              </w:rPr>
            </w:pPr>
            <w:r>
              <w:rPr>
                <w:rFonts w:hint="eastAsia" w:ascii="Times New Roman" w:hAnsi="Times New Roman"/>
                <w:sz w:val="24"/>
              </w:rPr>
              <w:t>⑦网络：模组集成 WIFI&amp;BT 模块，支持2.4G和5G；</w:t>
            </w:r>
          </w:p>
          <w:p w14:paraId="222867EF">
            <w:pPr>
              <w:pStyle w:val="11"/>
              <w:spacing w:line="360" w:lineRule="auto"/>
              <w:ind w:firstLine="0" w:firstLineChars="0"/>
              <w:rPr>
                <w:rFonts w:hint="eastAsia" w:ascii="Times New Roman" w:hAnsi="Times New Roman"/>
                <w:sz w:val="24"/>
              </w:rPr>
            </w:pPr>
            <w:r>
              <w:rPr>
                <w:rFonts w:hint="eastAsia" w:ascii="Times New Roman" w:hAnsi="Times New Roman"/>
                <w:sz w:val="24"/>
              </w:rPr>
              <w:t>⑧操作系统：采用Ubuntu操作系统架构；</w:t>
            </w:r>
          </w:p>
          <w:p w14:paraId="296EF6AB">
            <w:pPr>
              <w:pStyle w:val="11"/>
              <w:spacing w:line="360" w:lineRule="auto"/>
              <w:ind w:firstLine="0" w:firstLineChars="0"/>
              <w:rPr>
                <w:rFonts w:hint="eastAsia" w:ascii="Times New Roman" w:hAnsi="Times New Roman"/>
                <w:sz w:val="24"/>
              </w:rPr>
            </w:pPr>
            <w:r>
              <w:rPr>
                <w:rFonts w:hint="eastAsia" w:ascii="Times New Roman" w:hAnsi="Times New Roman"/>
                <w:sz w:val="24"/>
              </w:rPr>
              <w:t>⑨软件环境：具有计算机视觉库opencv、python3；</w:t>
            </w:r>
          </w:p>
          <w:p w14:paraId="33F89E89">
            <w:pPr>
              <w:pStyle w:val="11"/>
              <w:spacing w:line="360" w:lineRule="auto"/>
              <w:ind w:firstLine="0" w:firstLineChars="0"/>
              <w:rPr>
                <w:rFonts w:hint="eastAsia" w:ascii="Times New Roman" w:hAnsi="Times New Roman"/>
                <w:sz w:val="24"/>
              </w:rPr>
            </w:pPr>
            <w:r>
              <w:rPr>
                <w:rFonts w:hint="eastAsia" w:ascii="Times New Roman" w:hAnsi="Times New Roman"/>
                <w:sz w:val="24"/>
              </w:rPr>
              <w:t>⑩开发语言：Python、C/C++；</w:t>
            </w:r>
          </w:p>
          <w:p w14:paraId="59E4FCD8">
            <w:pPr>
              <w:pStyle w:val="11"/>
              <w:spacing w:line="360" w:lineRule="auto"/>
              <w:ind w:firstLine="0" w:firstLineChars="0"/>
              <w:rPr>
                <w:rFonts w:hint="eastAsia" w:ascii="Times New Roman" w:hAnsi="Times New Roman"/>
                <w:sz w:val="24"/>
              </w:rPr>
            </w:pPr>
            <w:r>
              <w:rPr>
                <w:rFonts w:hint="eastAsia" w:ascii="Times New Roman" w:hAnsi="Times New Roman"/>
                <w:sz w:val="24"/>
              </w:rPr>
              <w:t>13）移动管理系统参数</w:t>
            </w:r>
          </w:p>
          <w:p w14:paraId="7C5ADB46">
            <w:pPr>
              <w:pStyle w:val="11"/>
              <w:spacing w:line="360" w:lineRule="auto"/>
              <w:ind w:firstLine="0" w:firstLineChars="0"/>
              <w:rPr>
                <w:rFonts w:hint="eastAsia" w:ascii="Times New Roman" w:hAnsi="Times New Roman"/>
                <w:sz w:val="24"/>
              </w:rPr>
            </w:pPr>
            <w:r>
              <w:rPr>
                <w:rFonts w:hint="eastAsia" w:ascii="Times New Roman" w:hAnsi="Times New Roman"/>
                <w:sz w:val="24"/>
              </w:rPr>
              <w:t>①移动类型：前轮阿克曼转向，后轮驱动；</w:t>
            </w:r>
          </w:p>
          <w:p w14:paraId="552E966F">
            <w:pPr>
              <w:pStyle w:val="11"/>
              <w:spacing w:line="360" w:lineRule="auto"/>
              <w:ind w:firstLine="0" w:firstLineChars="0"/>
              <w:rPr>
                <w:rFonts w:hint="eastAsia" w:ascii="Times New Roman" w:hAnsi="Times New Roman"/>
                <w:sz w:val="24"/>
              </w:rPr>
            </w:pPr>
            <w:r>
              <w:rPr>
                <w:rFonts w:hint="eastAsia" w:ascii="Times New Roman" w:hAnsi="Times New Roman"/>
                <w:sz w:val="24"/>
              </w:rPr>
              <w:t>②车轮数量：4个；</w:t>
            </w:r>
          </w:p>
          <w:p w14:paraId="2995DC2F">
            <w:pPr>
              <w:pStyle w:val="11"/>
              <w:spacing w:line="360" w:lineRule="auto"/>
              <w:ind w:firstLine="0" w:firstLineChars="0"/>
              <w:rPr>
                <w:rFonts w:hint="eastAsia" w:ascii="Times New Roman" w:hAnsi="Times New Roman"/>
                <w:sz w:val="24"/>
              </w:rPr>
            </w:pPr>
            <w:r>
              <w:rPr>
                <w:rFonts w:hint="eastAsia" w:ascii="Times New Roman" w:hAnsi="Times New Roman"/>
                <w:sz w:val="24"/>
              </w:rPr>
              <w:t>③摄像头数量：2个；</w:t>
            </w:r>
          </w:p>
          <w:p w14:paraId="3A5405AD">
            <w:pPr>
              <w:pStyle w:val="11"/>
              <w:spacing w:line="360" w:lineRule="auto"/>
              <w:ind w:firstLine="0" w:firstLineChars="0"/>
              <w:rPr>
                <w:rFonts w:hint="eastAsia" w:ascii="Times New Roman" w:hAnsi="Times New Roman"/>
                <w:sz w:val="24"/>
              </w:rPr>
            </w:pPr>
            <w:r>
              <w:rPr>
                <w:rFonts w:hint="eastAsia" w:ascii="Times New Roman" w:hAnsi="Times New Roman"/>
                <w:sz w:val="24"/>
              </w:rPr>
              <w:t>④摄像头像素：200万；</w:t>
            </w:r>
          </w:p>
          <w:p w14:paraId="67CFA756">
            <w:pPr>
              <w:pStyle w:val="11"/>
              <w:spacing w:line="360" w:lineRule="auto"/>
              <w:ind w:firstLine="0" w:firstLineChars="0"/>
              <w:rPr>
                <w:rFonts w:hint="eastAsia" w:ascii="Times New Roman" w:hAnsi="Times New Roman"/>
                <w:sz w:val="24"/>
              </w:rPr>
            </w:pPr>
            <w:r>
              <w:rPr>
                <w:rFonts w:hint="eastAsia" w:ascii="Times New Roman" w:hAnsi="Times New Roman"/>
                <w:sz w:val="24"/>
              </w:rPr>
              <w:t>⑤配备六自由度陀螺仪传感器1个；</w:t>
            </w:r>
          </w:p>
          <w:p w14:paraId="157A2870">
            <w:pPr>
              <w:pStyle w:val="11"/>
              <w:spacing w:line="360" w:lineRule="auto"/>
              <w:ind w:firstLine="0" w:firstLineChars="0"/>
              <w:rPr>
                <w:rFonts w:hint="eastAsia" w:ascii="Times New Roman" w:hAnsi="Times New Roman"/>
                <w:sz w:val="24"/>
              </w:rPr>
            </w:pPr>
            <w:r>
              <w:rPr>
                <w:rFonts w:hint="eastAsia" w:ascii="Times New Roman" w:hAnsi="Times New Roman"/>
                <w:sz w:val="24"/>
              </w:rPr>
              <w:t>⑥具备紧急停止按钮</w:t>
            </w:r>
          </w:p>
          <w:p w14:paraId="644091AC">
            <w:pPr>
              <w:pStyle w:val="11"/>
              <w:spacing w:line="360" w:lineRule="auto"/>
              <w:ind w:firstLine="0" w:firstLineChars="0"/>
              <w:rPr>
                <w:rFonts w:hint="eastAsia" w:ascii="Times New Roman" w:hAnsi="Times New Roman"/>
                <w:sz w:val="24"/>
              </w:rPr>
            </w:pPr>
            <w:r>
              <w:rPr>
                <w:rFonts w:hint="eastAsia" w:ascii="Times New Roman" w:hAnsi="Times New Roman"/>
                <w:sz w:val="24"/>
              </w:rPr>
              <w:t>⑦电池</w:t>
            </w:r>
          </w:p>
          <w:p w14:paraId="57F34336">
            <w:pPr>
              <w:pStyle w:val="11"/>
              <w:spacing w:line="360" w:lineRule="auto"/>
              <w:ind w:firstLine="0" w:firstLineChars="0"/>
              <w:rPr>
                <w:rFonts w:hint="eastAsia" w:ascii="Times New Roman" w:hAnsi="Times New Roman"/>
                <w:sz w:val="24"/>
              </w:rPr>
            </w:pPr>
            <w:r>
              <w:rPr>
                <w:rFonts w:hint="eastAsia" w:ascii="Times New Roman" w:hAnsi="Times New Roman"/>
                <w:sz w:val="24"/>
              </w:rPr>
              <w:t>数量1个；</w:t>
            </w:r>
          </w:p>
          <w:p w14:paraId="4B0158AC">
            <w:pPr>
              <w:pStyle w:val="11"/>
              <w:spacing w:line="360" w:lineRule="auto"/>
              <w:ind w:firstLine="0" w:firstLineChars="0"/>
              <w:rPr>
                <w:rFonts w:hint="eastAsia" w:ascii="Times New Roman" w:hAnsi="Times New Roman"/>
                <w:sz w:val="24"/>
              </w:rPr>
            </w:pPr>
            <w:r>
              <w:rPr>
                <w:rFonts w:hint="eastAsia" w:ascii="Times New Roman" w:hAnsi="Times New Roman"/>
                <w:sz w:val="24"/>
              </w:rPr>
              <w:t>容量10AH；</w:t>
            </w:r>
          </w:p>
          <w:p w14:paraId="51E660CF">
            <w:pPr>
              <w:pStyle w:val="11"/>
              <w:spacing w:line="360" w:lineRule="auto"/>
              <w:ind w:firstLine="0" w:firstLineChars="0"/>
              <w:rPr>
                <w:rFonts w:hint="eastAsia" w:ascii="Times New Roman" w:hAnsi="Times New Roman"/>
                <w:sz w:val="24"/>
              </w:rPr>
            </w:pPr>
            <w:r>
              <w:rPr>
                <w:rFonts w:hint="eastAsia" w:ascii="Times New Roman" w:hAnsi="Times New Roman"/>
                <w:sz w:val="24"/>
              </w:rPr>
              <w:t>电池类型：锂电池；</w:t>
            </w:r>
          </w:p>
          <w:p w14:paraId="21A8D7E0">
            <w:pPr>
              <w:pStyle w:val="11"/>
              <w:spacing w:line="360" w:lineRule="auto"/>
              <w:ind w:firstLine="0" w:firstLineChars="0"/>
              <w:rPr>
                <w:rFonts w:hint="eastAsia" w:ascii="Times New Roman" w:hAnsi="Times New Roman"/>
                <w:sz w:val="24"/>
                <w:lang w:eastAsia="en-US"/>
              </w:rPr>
            </w:pPr>
            <w:r>
              <w:rPr>
                <w:rFonts w:hint="eastAsia" w:ascii="Times New Roman" w:hAnsi="Times New Roman"/>
                <w:sz w:val="24"/>
                <w:lang w:eastAsia="en-US"/>
              </w:rPr>
              <w:t>⑧激光雷达：</w:t>
            </w:r>
          </w:p>
          <w:p w14:paraId="566F3CE4">
            <w:pPr>
              <w:pStyle w:val="11"/>
              <w:spacing w:line="360" w:lineRule="auto"/>
              <w:ind w:firstLine="0" w:firstLineChars="0"/>
              <w:rPr>
                <w:rFonts w:hint="eastAsia" w:ascii="Times New Roman" w:hAnsi="Times New Roman"/>
                <w:sz w:val="24"/>
                <w:lang w:eastAsia="en-US"/>
              </w:rPr>
            </w:pPr>
            <w:r>
              <w:rPr>
                <w:rFonts w:hint="eastAsia" w:ascii="Times New Roman" w:hAnsi="Times New Roman"/>
                <w:sz w:val="24"/>
                <w:lang w:eastAsia="en-US"/>
              </w:rPr>
              <w:t>测量半径：25米@70%反射率；</w:t>
            </w:r>
          </w:p>
          <w:p w14:paraId="43658D14">
            <w:pPr>
              <w:pStyle w:val="11"/>
              <w:spacing w:line="360" w:lineRule="auto"/>
              <w:ind w:firstLine="0" w:firstLineChars="0"/>
              <w:rPr>
                <w:rFonts w:hint="eastAsia" w:ascii="Times New Roman" w:hAnsi="Times New Roman"/>
                <w:sz w:val="24"/>
                <w:lang w:eastAsia="en-US"/>
              </w:rPr>
            </w:pPr>
            <w:r>
              <w:rPr>
                <w:rFonts w:hint="eastAsia" w:ascii="Times New Roman" w:hAnsi="Times New Roman"/>
                <w:sz w:val="24"/>
                <w:lang w:eastAsia="en-US"/>
              </w:rPr>
              <w:t>采样频率：20000次/秒</w:t>
            </w:r>
          </w:p>
        </w:tc>
      </w:tr>
      <w:tr w14:paraId="2974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14:paraId="3D65BC46">
            <w:pPr>
              <w:pStyle w:val="11"/>
              <w:numPr>
                <w:ilvl w:val="0"/>
                <w:numId w:val="3"/>
              </w:numPr>
              <w:spacing w:line="360" w:lineRule="auto"/>
              <w:ind w:firstLineChars="0"/>
              <w:jc w:val="center"/>
              <w:rPr>
                <w:rFonts w:hint="eastAsia" w:ascii="Times New Roman" w:hAnsi="Times New Roman"/>
                <w:sz w:val="24"/>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56BD3062">
            <w:pPr>
              <w:pStyle w:val="11"/>
              <w:spacing w:line="360" w:lineRule="auto"/>
              <w:ind w:firstLine="0" w:firstLineChars="0"/>
              <w:jc w:val="center"/>
              <w:rPr>
                <w:rFonts w:hint="eastAsia" w:ascii="Times New Roman" w:hAnsi="Times New Roman"/>
                <w:sz w:val="24"/>
              </w:rPr>
            </w:pPr>
            <w:r>
              <w:rPr>
                <w:rFonts w:hint="eastAsia" w:ascii="Times New Roman" w:hAnsi="Times New Roman"/>
                <w:sz w:val="24"/>
              </w:rPr>
              <w:t>人工智能训练一体机</w:t>
            </w:r>
          </w:p>
        </w:tc>
        <w:tc>
          <w:tcPr>
            <w:tcW w:w="6394" w:type="dxa"/>
            <w:tcBorders>
              <w:top w:val="single" w:color="auto" w:sz="4" w:space="0"/>
              <w:left w:val="single" w:color="auto" w:sz="4" w:space="0"/>
              <w:bottom w:val="single" w:color="auto" w:sz="4" w:space="0"/>
              <w:right w:val="single" w:color="auto" w:sz="4" w:space="0"/>
            </w:tcBorders>
            <w:noWrap w:val="0"/>
            <w:vAlign w:val="center"/>
          </w:tcPr>
          <w:p w14:paraId="6D41B500">
            <w:pPr>
              <w:pStyle w:val="11"/>
              <w:spacing w:line="360" w:lineRule="auto"/>
              <w:ind w:firstLine="0" w:firstLineChars="0"/>
              <w:rPr>
                <w:rFonts w:hint="eastAsia" w:ascii="Times New Roman" w:hAnsi="Times New Roman"/>
                <w:sz w:val="24"/>
              </w:rPr>
            </w:pPr>
            <w:r>
              <w:rPr>
                <w:rFonts w:hint="eastAsia" w:ascii="Times New Roman" w:hAnsi="Times New Roman"/>
                <w:sz w:val="24"/>
              </w:rPr>
              <w:t>1）中央处理器：12核心的高频率处理器，能够提供强大的计算能力，适用于各种复杂的人工智能任务。</w:t>
            </w:r>
          </w:p>
          <w:p w14:paraId="189AA0E9">
            <w:pPr>
              <w:pStyle w:val="11"/>
              <w:spacing w:line="360" w:lineRule="auto"/>
              <w:ind w:firstLine="0" w:firstLineChars="0"/>
              <w:rPr>
                <w:rFonts w:hint="eastAsia" w:ascii="Times New Roman" w:hAnsi="Times New Roman"/>
                <w:sz w:val="24"/>
              </w:rPr>
            </w:pPr>
            <w:r>
              <w:rPr>
                <w:rFonts w:hint="eastAsia" w:ascii="Times New Roman" w:hAnsi="Times New Roman"/>
                <w:sz w:val="24"/>
              </w:rPr>
              <w:t>2）图像处理单元：具备12GB的显存大小，能够支持大规模图像处理和计算。</w:t>
            </w:r>
          </w:p>
          <w:p w14:paraId="08C6C829">
            <w:pPr>
              <w:pStyle w:val="11"/>
              <w:spacing w:line="360" w:lineRule="auto"/>
              <w:ind w:firstLine="0" w:firstLineChars="0"/>
              <w:rPr>
                <w:rFonts w:hint="eastAsia" w:ascii="Times New Roman" w:hAnsi="Times New Roman"/>
                <w:sz w:val="24"/>
              </w:rPr>
            </w:pPr>
            <w:r>
              <w:rPr>
                <w:rFonts w:hint="eastAsia" w:ascii="Times New Roman" w:hAnsi="Times New Roman"/>
                <w:sz w:val="24"/>
              </w:rPr>
              <w:t>3）内存：32GB的内存容量，能够提供充足的存储空间，支持大规模数据处理和模型训练。</w:t>
            </w:r>
          </w:p>
          <w:p w14:paraId="614FF6B3">
            <w:pPr>
              <w:pStyle w:val="11"/>
              <w:spacing w:line="360" w:lineRule="auto"/>
              <w:ind w:firstLine="0" w:firstLineChars="0"/>
              <w:rPr>
                <w:rFonts w:hint="eastAsia" w:ascii="Times New Roman" w:hAnsi="Times New Roman"/>
                <w:sz w:val="24"/>
              </w:rPr>
            </w:pPr>
            <w:r>
              <w:rPr>
                <w:rFonts w:hint="eastAsia" w:ascii="Times New Roman" w:hAnsi="Times New Roman"/>
                <w:sz w:val="24"/>
              </w:rPr>
              <w:t>4）固态驱动器：1TB的SSD，具有快速的读写速度，能够提高数据处理和加载的效率。</w:t>
            </w:r>
          </w:p>
          <w:p w14:paraId="397BBBFB">
            <w:pPr>
              <w:pStyle w:val="11"/>
              <w:spacing w:line="360" w:lineRule="auto"/>
              <w:ind w:firstLine="0" w:firstLineChars="0"/>
              <w:rPr>
                <w:rFonts w:hint="eastAsia" w:ascii="Times New Roman" w:hAnsi="Times New Roman"/>
                <w:sz w:val="24"/>
              </w:rPr>
            </w:pPr>
            <w:r>
              <w:rPr>
                <w:rFonts w:hint="eastAsia" w:ascii="Times New Roman" w:hAnsi="Times New Roman"/>
                <w:sz w:val="24"/>
              </w:rPr>
              <w:t>5）网卡控制器：支持千兆和百兆网络，能够满足高速数据传输的需求。</w:t>
            </w:r>
          </w:p>
          <w:p w14:paraId="18D39AE5">
            <w:pPr>
              <w:pStyle w:val="11"/>
              <w:spacing w:line="360" w:lineRule="auto"/>
              <w:ind w:firstLine="0" w:firstLineChars="0"/>
              <w:rPr>
                <w:rFonts w:hint="eastAsia" w:ascii="Times New Roman" w:hAnsi="Times New Roman"/>
                <w:sz w:val="24"/>
              </w:rPr>
            </w:pPr>
            <w:r>
              <w:rPr>
                <w:rFonts w:hint="eastAsia" w:ascii="Times New Roman" w:hAnsi="Times New Roman"/>
                <w:sz w:val="24"/>
              </w:rPr>
              <w:t>6）存储平台：采用5400RPM阵列式4TB*2的存储平台，提供大容量的数据存储空间。</w:t>
            </w:r>
          </w:p>
          <w:p w14:paraId="47EC892D">
            <w:pPr>
              <w:pStyle w:val="11"/>
              <w:spacing w:line="360" w:lineRule="auto"/>
              <w:ind w:firstLine="0" w:firstLineChars="0"/>
              <w:rPr>
                <w:rFonts w:hint="eastAsia" w:ascii="Times New Roman" w:hAnsi="Times New Roman"/>
                <w:sz w:val="24"/>
              </w:rPr>
            </w:pPr>
            <w:r>
              <w:rPr>
                <w:rFonts w:hint="eastAsia" w:ascii="Times New Roman" w:hAnsi="Times New Roman"/>
                <w:sz w:val="24"/>
              </w:rPr>
              <w:t>7）外置接口：提供多个USB 接口、HDMI输出和以太网接口，支持外部设备的连接和数据传输。</w:t>
            </w:r>
          </w:p>
          <w:p w14:paraId="2DBD7909">
            <w:pPr>
              <w:pStyle w:val="11"/>
              <w:spacing w:line="360" w:lineRule="auto"/>
              <w:ind w:firstLine="0" w:firstLineChars="0"/>
              <w:rPr>
                <w:rFonts w:hint="eastAsia" w:ascii="Times New Roman" w:hAnsi="Times New Roman"/>
                <w:sz w:val="24"/>
              </w:rPr>
            </w:pPr>
            <w:r>
              <w:rPr>
                <w:rFonts w:hint="eastAsia" w:ascii="Times New Roman" w:hAnsi="Times New Roman"/>
                <w:sz w:val="24"/>
              </w:rPr>
              <w:t>8）内置接口：具备丰富的内置接口，包括USB、Type-c和音频接口，方便用户的数据处理和连接外部设备。</w:t>
            </w:r>
          </w:p>
          <w:p w14:paraId="5B130BB1">
            <w:pPr>
              <w:pStyle w:val="11"/>
              <w:spacing w:line="360" w:lineRule="auto"/>
              <w:ind w:firstLine="0" w:firstLineChars="0"/>
              <w:rPr>
                <w:rFonts w:hint="eastAsia" w:ascii="Times New Roman" w:hAnsi="Times New Roman"/>
                <w:sz w:val="24"/>
              </w:rPr>
            </w:pPr>
            <w:r>
              <w:rPr>
                <w:rFonts w:hint="eastAsia" w:ascii="Times New Roman" w:hAnsi="Times New Roman"/>
                <w:sz w:val="24"/>
              </w:rPr>
              <w:t>9）操作系统：采用Ubuntu操作系统，为用户提供稳定、安全的工作环境。</w:t>
            </w:r>
          </w:p>
          <w:p w14:paraId="4EE572A7">
            <w:pPr>
              <w:pStyle w:val="11"/>
              <w:spacing w:line="360" w:lineRule="auto"/>
              <w:ind w:firstLine="0" w:firstLineChars="0"/>
              <w:rPr>
                <w:rFonts w:hint="eastAsia" w:ascii="Times New Roman" w:hAnsi="Times New Roman"/>
                <w:sz w:val="24"/>
              </w:rPr>
            </w:pPr>
            <w:r>
              <w:rPr>
                <w:rFonts w:hint="eastAsia" w:ascii="Times New Roman" w:hAnsi="Times New Roman"/>
                <w:sz w:val="24"/>
              </w:rPr>
              <w:t>10）支持人工智能算法平台和人机协同数据标注平台的部署与运行，支持连接控制无人驾驶小车，满足人工智能数据处理、数据标注、算法训练和部署等多个环节的无缝连接。</w:t>
            </w:r>
          </w:p>
        </w:tc>
      </w:tr>
      <w:tr w14:paraId="26CD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14:paraId="7426E257">
            <w:pPr>
              <w:pStyle w:val="11"/>
              <w:numPr>
                <w:ilvl w:val="0"/>
                <w:numId w:val="3"/>
              </w:numPr>
              <w:spacing w:line="360" w:lineRule="auto"/>
              <w:ind w:firstLineChars="0"/>
              <w:jc w:val="center"/>
              <w:rPr>
                <w:rFonts w:hint="eastAsia" w:ascii="Times New Roman" w:hAnsi="Times New Roman"/>
                <w:sz w:val="24"/>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3C5F03CC">
            <w:pPr>
              <w:pStyle w:val="11"/>
              <w:spacing w:line="360" w:lineRule="auto"/>
              <w:ind w:firstLine="0" w:firstLineChars="0"/>
              <w:jc w:val="center"/>
              <w:rPr>
                <w:rFonts w:hint="eastAsia" w:ascii="Times New Roman" w:hAnsi="Times New Roman"/>
                <w:sz w:val="24"/>
              </w:rPr>
            </w:pPr>
            <w:r>
              <w:rPr>
                <w:rFonts w:hint="eastAsia" w:ascii="Times New Roman" w:hAnsi="Times New Roman"/>
                <w:sz w:val="24"/>
              </w:rPr>
              <w:t>人工智能自动驾驶应用场景</w:t>
            </w:r>
          </w:p>
        </w:tc>
        <w:tc>
          <w:tcPr>
            <w:tcW w:w="6394" w:type="dxa"/>
            <w:tcBorders>
              <w:top w:val="single" w:color="auto" w:sz="4" w:space="0"/>
              <w:left w:val="single" w:color="auto" w:sz="4" w:space="0"/>
              <w:bottom w:val="single" w:color="auto" w:sz="4" w:space="0"/>
              <w:right w:val="single" w:color="auto" w:sz="4" w:space="0"/>
            </w:tcBorders>
            <w:noWrap w:val="0"/>
            <w:vAlign w:val="center"/>
          </w:tcPr>
          <w:p w14:paraId="4661610D">
            <w:pPr>
              <w:pStyle w:val="11"/>
              <w:spacing w:line="360" w:lineRule="auto"/>
              <w:ind w:firstLine="0" w:firstLineChars="0"/>
              <w:rPr>
                <w:rFonts w:hint="eastAsia" w:ascii="Times New Roman" w:hAnsi="Times New Roman"/>
                <w:sz w:val="24"/>
              </w:rPr>
            </w:pPr>
            <w:r>
              <w:rPr>
                <w:rFonts w:hint="eastAsia" w:ascii="Times New Roman" w:hAnsi="Times New Roman"/>
                <w:sz w:val="24"/>
              </w:rPr>
              <w:t>1）整体长宽尺寸为4000*4000mm</w:t>
            </w:r>
          </w:p>
          <w:p w14:paraId="744487EA">
            <w:pPr>
              <w:pStyle w:val="11"/>
              <w:spacing w:line="360" w:lineRule="auto"/>
              <w:ind w:firstLine="0" w:firstLineChars="0"/>
              <w:rPr>
                <w:rFonts w:hint="eastAsia" w:ascii="Times New Roman" w:hAnsi="Times New Roman"/>
                <w:sz w:val="24"/>
              </w:rPr>
            </w:pPr>
            <w:r>
              <w:rPr>
                <w:rFonts w:hint="eastAsia" w:ascii="Times New Roman" w:hAnsi="Times New Roman"/>
                <w:sz w:val="24"/>
              </w:rPr>
              <w:t>2）配置仿真路景实况，提供T字路口、十字路口等交通场景，提供交通标志、模拟行人等道路模拟目标，道路表面设计有斑马线、转弯线等，用于验证和应用智能避障、路径规划等人工智能算法；</w:t>
            </w:r>
          </w:p>
          <w:p w14:paraId="62315139">
            <w:pPr>
              <w:pStyle w:val="11"/>
              <w:spacing w:line="360" w:lineRule="auto"/>
              <w:ind w:firstLine="0" w:firstLineChars="0"/>
              <w:rPr>
                <w:rFonts w:ascii="Times New Roman" w:hAnsi="Times New Roman"/>
                <w:sz w:val="24"/>
              </w:rPr>
            </w:pPr>
            <w:r>
              <w:rPr>
                <w:rFonts w:hint="eastAsia" w:ascii="Times New Roman" w:hAnsi="Times New Roman"/>
                <w:sz w:val="24"/>
              </w:rPr>
              <w:t>3)交通信息提示标志：≥10类。</w:t>
            </w:r>
          </w:p>
        </w:tc>
      </w:tr>
    </w:tbl>
    <w:p w14:paraId="781D8F44">
      <w:pPr>
        <w:pStyle w:val="16"/>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outlineLvl w:val="0"/>
        <w:rPr>
          <w:rFonts w:ascii="Times New Roman" w:hAnsi="Times New Roman" w:eastAsia="黑体" w:cs="Times New Roman"/>
          <w:bCs/>
          <w:szCs w:val="32"/>
        </w:rPr>
      </w:pPr>
      <w:bookmarkStart w:id="27" w:name="_Toc15112_WPSOffice_Level1"/>
      <w:bookmarkStart w:id="28" w:name="_Toc21590"/>
      <w:r>
        <w:rPr>
          <w:rFonts w:hint="eastAsia" w:ascii="Times New Roman" w:hAnsi="Times New Roman" w:eastAsia="黑体" w:cs="Times New Roman"/>
          <w:bCs/>
          <w:szCs w:val="32"/>
        </w:rPr>
        <w:t>五</w:t>
      </w:r>
      <w:r>
        <w:rPr>
          <w:rFonts w:ascii="Times New Roman" w:hAnsi="Times New Roman" w:eastAsia="黑体" w:cs="Times New Roman"/>
          <w:bCs/>
          <w:szCs w:val="32"/>
        </w:rPr>
        <w:t>、</w:t>
      </w:r>
      <w:bookmarkEnd w:id="27"/>
      <w:r>
        <w:rPr>
          <w:rFonts w:ascii="Times New Roman" w:hAnsi="Times New Roman" w:eastAsia="黑体" w:cs="Times New Roman"/>
          <w:bCs/>
          <w:szCs w:val="32"/>
        </w:rPr>
        <w:t>竞赛规则</w:t>
      </w:r>
      <w:bookmarkEnd w:id="28"/>
    </w:p>
    <w:p w14:paraId="44DCFFC4">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楷体_GB2312" w:cs="Times New Roman"/>
          <w:szCs w:val="32"/>
        </w:rPr>
      </w:pPr>
      <w:bookmarkStart w:id="29" w:name="_Toc4467"/>
      <w:r>
        <w:rPr>
          <w:rFonts w:ascii="Times New Roman" w:hAnsi="Times New Roman" w:eastAsia="楷体_GB2312" w:cs="Times New Roman"/>
          <w:szCs w:val="32"/>
        </w:rPr>
        <w:t>（一）参赛规则</w:t>
      </w:r>
      <w:bookmarkEnd w:id="29"/>
    </w:p>
    <w:p w14:paraId="3F1E3FEF">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1. 理论知识竞赛</w:t>
      </w:r>
    </w:p>
    <w:p w14:paraId="11A07831">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（1）</w:t>
      </w:r>
      <w:r>
        <w:rPr>
          <w:rFonts w:hint="eastAsia"/>
          <w:szCs w:val="32"/>
        </w:rPr>
        <w:t>参赛证</w:t>
      </w:r>
      <w:r>
        <w:t>由组委会于竞赛开始前统一核发；</w:t>
      </w:r>
    </w:p>
    <w:p w14:paraId="3C3496B4">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（2）参赛选手需提前30分钟凭有效身份证和参赛证进入考场，对号入座并将身份证和参赛证放在座位左上角明显位置，以备查验。迟到30分钟不得入场；</w:t>
      </w:r>
    </w:p>
    <w:p w14:paraId="5825EAE1">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（3）竞赛过程中由于选手个人原因</w:t>
      </w:r>
      <w:r>
        <w:rPr>
          <w:szCs w:val="32"/>
        </w:rPr>
        <w:t>（如身体条件）</w:t>
      </w:r>
      <w:r>
        <w:t>引起的竞赛无法正常进行，选手将以弃权处理；</w:t>
      </w:r>
    </w:p>
    <w:p w14:paraId="0ACF0CB6">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4）参赛选手进入考场不能携带手机等通讯工具，不能携带与竞赛相关的文件资料。在赛场上应自觉遵守赛场秩序，保持安静，竞赛进行过程中不允许任何形式的交谈，更不得大声喧哗吵闹，否则将给予警告直至取消竞赛资格；</w:t>
      </w:r>
    </w:p>
    <w:p w14:paraId="44619B58">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（5）</w:t>
      </w:r>
      <w:r>
        <w:rPr>
          <w:rFonts w:hint="eastAsia"/>
          <w:szCs w:val="32"/>
        </w:rPr>
        <w:t>冒名顶替</w:t>
      </w:r>
      <w:r>
        <w:t>、弄虚作假、作弊者，取消竞赛资格及成绩；</w:t>
      </w:r>
    </w:p>
    <w:p w14:paraId="3DB10BDE">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t>（6）竞赛</w:t>
      </w:r>
      <w:r>
        <w:rPr>
          <w:rFonts w:hint="eastAsia"/>
          <w:szCs w:val="32"/>
        </w:rPr>
        <w:t>结束</w:t>
      </w:r>
      <w:r>
        <w:t>时，选手应立即停止答题，有秩序的离开赛场。</w:t>
      </w:r>
      <w:r>
        <w:rPr>
          <w:szCs w:val="32"/>
        </w:rPr>
        <w:t>离开比赛场地时，不得将草稿纸等与比赛有关的物品带离赛场。</w:t>
      </w:r>
    </w:p>
    <w:p w14:paraId="4E390400">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2. 技能操作竞赛</w:t>
      </w:r>
    </w:p>
    <w:p w14:paraId="5C454CF7">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（1）竞赛前，由组委会统筹考虑参赛人数和设备台套数，确定竞赛批次。参赛选手的场次将提前采取抽签方式确定。竞赛工位号在</w:t>
      </w:r>
      <w:r>
        <w:rPr>
          <w:rFonts w:hint="eastAsia"/>
          <w:szCs w:val="32"/>
        </w:rPr>
        <w:t>竞赛</w:t>
      </w:r>
      <w:r>
        <w:rPr>
          <w:rFonts w:hint="eastAsia"/>
        </w:rPr>
        <w:t>当天检录时，由参赛选手抽签确定。流程安排暂定如下图。竞赛前将根据参赛人数、竞赛批次、场次抽签等做出详细日程表，具体日程安排另行发布；</w:t>
      </w:r>
    </w:p>
    <w:p w14:paraId="4A06D381">
      <w:pPr>
        <w:pStyle w:val="16"/>
        <w:ind w:firstLine="0" w:firstLineChars="0"/>
        <w:rPr>
          <w:rFonts w:hint="eastAsia"/>
        </w:rPr>
      </w:pPr>
      <w:r>
        <w:rPr>
          <w:rFonts w:hint="eastAsia"/>
        </w:rPr>
        <w:drawing>
          <wp:inline distT="0" distB="0" distL="114300" distR="114300">
            <wp:extent cx="5268595" cy="4012565"/>
            <wp:effectExtent l="0" t="0" r="4445" b="1079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7"/>
                    <a:stretch>
                      <a:fillRect/>
                    </a:stretch>
                  </pic:blipFill>
                  <pic:spPr>
                    <a:xfrm>
                      <a:off x="0" y="0"/>
                      <a:ext cx="5268595" cy="4012565"/>
                    </a:xfrm>
                    <a:prstGeom prst="rect">
                      <a:avLst/>
                    </a:prstGeom>
                    <a:noFill/>
                    <a:ln>
                      <a:noFill/>
                    </a:ln>
                  </pic:spPr>
                </pic:pic>
              </a:graphicData>
            </a:graphic>
          </wp:inline>
        </w:drawing>
      </w:r>
    </w:p>
    <w:p w14:paraId="422525CC">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w:t>
      </w:r>
      <w:r>
        <w:rPr>
          <w:rFonts w:hint="eastAsia"/>
        </w:rPr>
        <w:t>2</w:t>
      </w:r>
      <w:r>
        <w:t>）宣布竞赛开始后，由裁判组分发实操比赛赛题，同时开始比赛</w:t>
      </w:r>
      <w:r>
        <w:rPr>
          <w:rFonts w:hint="eastAsia"/>
          <w:szCs w:val="32"/>
        </w:rPr>
        <w:t>计时</w:t>
      </w:r>
      <w:r>
        <w:t>；</w:t>
      </w:r>
    </w:p>
    <w:p w14:paraId="40F08485">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w:t>
      </w:r>
      <w:r>
        <w:rPr>
          <w:rFonts w:hint="eastAsia"/>
        </w:rPr>
        <w:t>3</w:t>
      </w:r>
      <w:r>
        <w:t>）参赛</w:t>
      </w:r>
      <w:r>
        <w:rPr>
          <w:rFonts w:hint="eastAsia"/>
          <w:szCs w:val="32"/>
        </w:rPr>
        <w:t>选手</w:t>
      </w:r>
      <w:r>
        <w:t>按赛题完成各竞赛项目，并主动配合裁判员评分；</w:t>
      </w:r>
    </w:p>
    <w:p w14:paraId="6C3AA3EA">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w:t>
      </w:r>
      <w:r>
        <w:rPr>
          <w:rFonts w:hint="eastAsia"/>
        </w:rPr>
        <w:t>4</w:t>
      </w:r>
      <w:r>
        <w:t>）参赛选手应严格遵守赛场纪律，所有的通讯工具、摄像工具</w:t>
      </w:r>
      <w:r>
        <w:rPr>
          <w:rFonts w:hint="eastAsia"/>
          <w:szCs w:val="32"/>
        </w:rPr>
        <w:t>不得</w:t>
      </w:r>
      <w:r>
        <w:t>带入竞赛现场，对竞赛设施设备应爱护、保管，防止丢失和损坏；</w:t>
      </w:r>
    </w:p>
    <w:p w14:paraId="3826BB3D">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w:t>
      </w:r>
      <w:r>
        <w:rPr>
          <w:rFonts w:hint="eastAsia"/>
        </w:rPr>
        <w:t>5</w:t>
      </w:r>
      <w:r>
        <w:t>）参赛选手不得将竞赛提供的工具、材料等物品带出赛场，竞赛结束后应将工具复位；</w:t>
      </w:r>
    </w:p>
    <w:p w14:paraId="34811C13">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w:t>
      </w:r>
      <w:r>
        <w:rPr>
          <w:rFonts w:hint="eastAsia"/>
        </w:rPr>
        <w:t>6</w:t>
      </w:r>
      <w:r>
        <w:t>）</w:t>
      </w:r>
      <w:r>
        <w:rPr>
          <w:rFonts w:hint="eastAsia"/>
          <w:szCs w:val="32"/>
        </w:rPr>
        <w:t>冒名顶替</w:t>
      </w:r>
      <w:r>
        <w:t>、弄虚作假、作弊者，取消竞赛资格及成绩；</w:t>
      </w:r>
    </w:p>
    <w:p w14:paraId="5F0BCDB4">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w:t>
      </w:r>
      <w:r>
        <w:rPr>
          <w:rFonts w:hint="eastAsia"/>
        </w:rPr>
        <w:t>7</w:t>
      </w:r>
      <w:r>
        <w:t>）竞赛结束前10分钟，裁判员应提醒竞赛剩余时间，竞赛结束时间到，各参赛选手必须停止操作。</w:t>
      </w:r>
    </w:p>
    <w:p w14:paraId="43D09E1B">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楷体_GB2312" w:cs="Times New Roman"/>
          <w:szCs w:val="32"/>
        </w:rPr>
      </w:pPr>
      <w:bookmarkStart w:id="30" w:name="_Toc11187"/>
      <w:r>
        <w:rPr>
          <w:rFonts w:ascii="Times New Roman" w:hAnsi="Times New Roman" w:eastAsia="楷体_GB2312" w:cs="Times New Roman"/>
          <w:szCs w:val="32"/>
        </w:rPr>
        <w:t>（二）赛场规则</w:t>
      </w:r>
      <w:bookmarkEnd w:id="30"/>
    </w:p>
    <w:p w14:paraId="75BC14A9">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1. 工作人员必须统一佩戴由竞赛组委会发放的相应工作人员证件，着装整齐。</w:t>
      </w:r>
    </w:p>
    <w:p w14:paraId="305D7900">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szCs w:val="32"/>
        </w:rPr>
      </w:pPr>
      <w:r>
        <w:rPr>
          <w:szCs w:val="32"/>
        </w:rPr>
        <w:t>2. 工作</w:t>
      </w:r>
      <w:r>
        <w:rPr>
          <w:rFonts w:hint="eastAsia"/>
          <w:szCs w:val="32"/>
        </w:rPr>
        <w:t>人员</w:t>
      </w:r>
      <w:r>
        <w:rPr>
          <w:szCs w:val="32"/>
        </w:rPr>
        <w:t>必须服从执委会的统一指挥，准时到岗，认真履行职责，做好比赛的各项服务工作。如遇突发事件，应及时向执委会报告，同时做好疏导工作，避免重大事故发生，确保大赛圆满成功。</w:t>
      </w:r>
    </w:p>
    <w:p w14:paraId="0F92555F">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3. 在</w:t>
      </w:r>
      <w:r>
        <w:rPr>
          <w:rFonts w:hint="eastAsia"/>
          <w:szCs w:val="32"/>
        </w:rPr>
        <w:t>比赛</w:t>
      </w:r>
      <w:r>
        <w:t>过程中，工作人员不得随意向外界透露与比赛有关的信息。</w:t>
      </w:r>
    </w:p>
    <w:p w14:paraId="6D442C47">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rPr>
          <w:szCs w:val="32"/>
        </w:rPr>
        <w:t>4. 赛场除现场裁</w:t>
      </w:r>
      <w:r>
        <w:t>判、赛场配备的工作人员以外，其他人员未经允许不得进入赛场。</w:t>
      </w:r>
    </w:p>
    <w:p w14:paraId="70087F26">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5. 新闻</w:t>
      </w:r>
      <w:r>
        <w:rPr>
          <w:rFonts w:hint="eastAsia"/>
          <w:szCs w:val="32"/>
        </w:rPr>
        <w:t>媒体</w:t>
      </w:r>
      <w:r>
        <w:t>等进入赛场必须经过组委会允许，并且听从现场工作人员的安排和管理，不能影响竞赛进行。</w:t>
      </w:r>
    </w:p>
    <w:p w14:paraId="5FF4CD80">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6. 参赛</w:t>
      </w:r>
      <w:r>
        <w:rPr>
          <w:rFonts w:hint="eastAsia"/>
          <w:szCs w:val="32"/>
        </w:rPr>
        <w:t>选手</w:t>
      </w:r>
      <w:r>
        <w:t>在竞赛期间未经组委会批准不得接受其他单位和个人进行的与竞赛内容相关的采访。</w:t>
      </w:r>
    </w:p>
    <w:p w14:paraId="7C242B18">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7. 参赛</w:t>
      </w:r>
      <w:r>
        <w:rPr>
          <w:rFonts w:hint="eastAsia"/>
          <w:szCs w:val="32"/>
        </w:rPr>
        <w:t>选手</w:t>
      </w:r>
      <w:r>
        <w:t>不得将竞赛的相关情况资料私自公布。</w:t>
      </w:r>
    </w:p>
    <w:p w14:paraId="6554A591">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8. 参赛</w:t>
      </w:r>
      <w:r>
        <w:rPr>
          <w:rFonts w:hint="eastAsia"/>
          <w:szCs w:val="32"/>
        </w:rPr>
        <w:t>选手</w:t>
      </w:r>
      <w:r>
        <w:t>在竞赛过程中必须主动配合裁判的工作，服从裁判安排，如果对竞赛的裁决有异议，</w:t>
      </w:r>
      <w:r>
        <w:rPr>
          <w:szCs w:val="32"/>
        </w:rPr>
        <w:t xml:space="preserve">选手须在规定时限（竞赛结束后 </w:t>
      </w:r>
      <w:r>
        <w:rPr>
          <w:color w:val="000000"/>
          <w:spacing w:val="-6"/>
          <w:szCs w:val="30"/>
        </w:rPr>
        <w:t>30分钟</w:t>
      </w:r>
      <w:r>
        <w:rPr>
          <w:szCs w:val="32"/>
        </w:rPr>
        <w:t>内）以书面形式</w:t>
      </w:r>
      <w:r>
        <w:t>向监督仲裁组提出申诉。</w:t>
      </w:r>
    </w:p>
    <w:p w14:paraId="445ACD93">
      <w:pPr>
        <w:pStyle w:val="16"/>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outlineLvl w:val="0"/>
        <w:rPr>
          <w:rFonts w:ascii="Times New Roman" w:hAnsi="Times New Roman" w:eastAsia="黑体" w:cs="Times New Roman"/>
          <w:bCs/>
          <w:szCs w:val="32"/>
          <w:lang w:eastAsia="zh-CN"/>
        </w:rPr>
      </w:pPr>
      <w:bookmarkStart w:id="31" w:name="_Toc8133_WPSOffice_Level1"/>
      <w:bookmarkStart w:id="32" w:name="_Toc8415"/>
      <w:r>
        <w:rPr>
          <w:rFonts w:hint="eastAsia" w:ascii="Times New Roman" w:hAnsi="Times New Roman" w:eastAsia="黑体" w:cs="Times New Roman"/>
          <w:bCs/>
          <w:szCs w:val="32"/>
          <w:lang w:val="en-US" w:eastAsia="zh-CN"/>
        </w:rPr>
        <w:t>六</w:t>
      </w:r>
      <w:r>
        <w:rPr>
          <w:rFonts w:ascii="Times New Roman" w:hAnsi="Times New Roman" w:eastAsia="黑体" w:cs="Times New Roman"/>
          <w:bCs/>
          <w:szCs w:val="32"/>
          <w:lang w:eastAsia="zh-CN"/>
        </w:rPr>
        <w:t>、</w:t>
      </w:r>
      <w:bookmarkEnd w:id="31"/>
      <w:r>
        <w:rPr>
          <w:rFonts w:ascii="Times New Roman" w:hAnsi="Times New Roman" w:eastAsia="黑体" w:cs="Times New Roman"/>
          <w:bCs/>
          <w:szCs w:val="32"/>
          <w:lang w:eastAsia="zh-CN"/>
        </w:rPr>
        <w:t>申诉与仲裁</w:t>
      </w:r>
      <w:bookmarkEnd w:id="32"/>
    </w:p>
    <w:p w14:paraId="70780B34">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（一）参赛选手对不符合竞赛规定的设备、工具和备件，有失公正的</w:t>
      </w:r>
      <w:r>
        <w:rPr>
          <w:rFonts w:hint="eastAsia"/>
          <w:szCs w:val="32"/>
        </w:rPr>
        <w:t>检测</w:t>
      </w:r>
      <w:r>
        <w:t>、评判、奖励，以及对工作人员的违规行为等，均可提出申诉。</w:t>
      </w:r>
    </w:p>
    <w:p w14:paraId="1866E68F">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（二）选手申诉均须在赛后</w:t>
      </w:r>
      <w:r>
        <w:rPr>
          <w:color w:val="000000"/>
          <w:spacing w:val="-6"/>
          <w:szCs w:val="30"/>
        </w:rPr>
        <w:t>30分钟</w:t>
      </w:r>
      <w:r>
        <w:t>内，通过书面形式向大赛监督仲裁组提出。监督仲裁组受理之后，处理意见通知当事人。</w:t>
      </w:r>
    </w:p>
    <w:p w14:paraId="1CB34FF0">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（三）监督仲裁组裁决为最终裁决，参赛选手不得因申诉或对处理意见不服而停止比赛，否则视弃权处理。</w:t>
      </w:r>
    </w:p>
    <w:p w14:paraId="0706B324">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pPr>
      <w:r>
        <w:t>（四）监督</w:t>
      </w:r>
      <w:r>
        <w:rPr>
          <w:rFonts w:hint="eastAsia"/>
          <w:szCs w:val="32"/>
        </w:rPr>
        <w:t>仲裁</w:t>
      </w:r>
      <w:r>
        <w:t>组成员由本次大赛执委会派员组成。</w:t>
      </w:r>
    </w:p>
    <w:p w14:paraId="1BD6F92E">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pPr>
    </w:p>
    <w:p w14:paraId="5FFA9950">
      <w:pPr>
        <w:pStyle w:val="20"/>
        <w:widowControl w:val="0"/>
        <w:numPr>
          <w:ilvl w:val="0"/>
          <w:numId w:val="0"/>
        </w:numPr>
        <w:snapToGrid w:val="0"/>
        <w:spacing w:line="560" w:lineRule="exact"/>
        <w:ind w:firstLine="640" w:firstLineChars="200"/>
        <w:jc w:val="lef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附件：1. 理论知识考试样题</w:t>
      </w:r>
    </w:p>
    <w:p w14:paraId="4B6A630B">
      <w:pPr>
        <w:pStyle w:val="20"/>
        <w:widowControl w:val="0"/>
        <w:numPr>
          <w:ilvl w:val="0"/>
          <w:numId w:val="4"/>
        </w:numPr>
        <w:snapToGrid w:val="0"/>
        <w:spacing w:line="560" w:lineRule="exact"/>
        <w:ind w:firstLine="1600" w:firstLineChars="500"/>
        <w:jc w:val="lef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实操技能考试样题</w:t>
      </w:r>
    </w:p>
    <w:p w14:paraId="54F27A26">
      <w:r>
        <w:br w:type="page"/>
      </w:r>
    </w:p>
    <w:p w14:paraId="1DE4814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left"/>
        <w:textAlignment w:val="auto"/>
        <w:rPr>
          <w:rFonts w:hint="default" w:ascii="Times New Roman" w:hAnsi="Times New Roman" w:eastAsia="宋体" w:cs="Times New Roman"/>
          <w:b w:val="0"/>
          <w:bCs w:val="0"/>
          <w:sz w:val="32"/>
          <w:szCs w:val="32"/>
          <w:lang w:val="en-US" w:eastAsia="zh-CN"/>
        </w:rPr>
      </w:pPr>
      <w:r>
        <w:rPr>
          <w:rFonts w:hint="eastAsia" w:ascii="宋体" w:hAnsi="宋体" w:eastAsia="宋体" w:cs="宋体"/>
          <w:b w:val="0"/>
          <w:bCs w:val="0"/>
          <w:sz w:val="32"/>
          <w:szCs w:val="32"/>
          <w:lang w:val="en-US" w:eastAsia="zh-CN"/>
        </w:rPr>
        <w:t>附件</w:t>
      </w:r>
      <w:r>
        <w:rPr>
          <w:rFonts w:hint="default" w:ascii="Times New Roman" w:hAnsi="Times New Roman" w:eastAsia="宋体" w:cs="Times New Roman"/>
          <w:b w:val="0"/>
          <w:bCs w:val="0"/>
          <w:sz w:val="32"/>
          <w:szCs w:val="32"/>
          <w:lang w:val="en-US" w:eastAsia="zh-CN"/>
        </w:rPr>
        <w:t>1</w:t>
      </w:r>
    </w:p>
    <w:p w14:paraId="1588FF6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left"/>
        <w:textAlignment w:val="auto"/>
        <w:rPr>
          <w:rFonts w:hint="default" w:ascii="Times New Roman" w:hAnsi="Times New Roman" w:eastAsia="宋体" w:cs="Times New Roman"/>
          <w:b w:val="0"/>
          <w:bCs w:val="0"/>
          <w:sz w:val="32"/>
          <w:szCs w:val="32"/>
          <w:lang w:val="en-US" w:eastAsia="zh-CN"/>
        </w:rPr>
      </w:pPr>
    </w:p>
    <w:p w14:paraId="787D0FA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2025年东莞市职业技能大赛人工智能训练师项目理论知识考试样题</w:t>
      </w:r>
    </w:p>
    <w:p w14:paraId="1ACCFBFF">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Chars="200" w:right="0" w:rightChars="0"/>
        <w:jc w:val="both"/>
        <w:textAlignment w:val="auto"/>
        <w:rPr>
          <w:rFonts w:hint="eastAsia" w:ascii="仿宋_GB2312" w:hAnsi="仿宋_GB2312" w:eastAsia="仿宋_GB2312" w:cs="仿宋_GB2312"/>
          <w:b/>
          <w:bCs/>
          <w:sz w:val="32"/>
          <w:szCs w:val="32"/>
          <w:lang w:val="en-US" w:eastAsia="zh-CN"/>
        </w:rPr>
      </w:pPr>
    </w:p>
    <w:p w14:paraId="72CBC87C">
      <w:pPr>
        <w:pStyle w:val="10"/>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单项选择题（共 60 题，每题 1 分，共 60 分）</w:t>
      </w:r>
    </w:p>
    <w:p w14:paraId="16FEB334">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 深度学习在自动驾驶系统中主要用于实现哪项功能？（C）</w:t>
      </w:r>
    </w:p>
    <w:p w14:paraId="0868087C">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1501" w:leftChars="469" w:right="0" w:rightChars="0"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A.路径规划</w:t>
      </w:r>
    </w:p>
    <w:p w14:paraId="120647B5">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1501" w:leftChars="469" w:right="0" w:rightChars="0"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B.语音控制</w:t>
      </w:r>
    </w:p>
    <w:p w14:paraId="3ED64BA5">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1501" w:leftChars="469" w:right="0" w:rightChars="0"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C.环境感知与决策</w:t>
      </w:r>
    </w:p>
    <w:p w14:paraId="23002D1A">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1501" w:leftChars="469" w:right="0" w:rightChars="0"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D.车辆维护</w:t>
      </w:r>
    </w:p>
    <w:p w14:paraId="59531CB3">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 神经网络发展历史上，哪个算法的提出标志着第二次高潮的开始？（B）</w:t>
      </w:r>
    </w:p>
    <w:p w14:paraId="2338DD84">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1501" w:leftChars="469" w:right="0" w:rightChars="0"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A.感知机</w:t>
      </w:r>
    </w:p>
    <w:p w14:paraId="7EF1DED9">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1501" w:leftChars="469" w:right="0" w:rightChars="0"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B.反向传播</w:t>
      </w:r>
    </w:p>
    <w:p w14:paraId="06BB767B">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1501" w:leftChars="469" w:right="0" w:rightChars="0"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C.支持向量机</w:t>
      </w:r>
    </w:p>
    <w:p w14:paraId="0AC465A0">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1501" w:leftChars="469" w:right="0" w:rightChars="0"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D.卷积神经网络</w:t>
      </w:r>
    </w:p>
    <w:p w14:paraId="75666DBC">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p>
    <w:p w14:paraId="187A8314">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60. 在前向神经网络中，哪一层负责接收输入数据？（D）</w:t>
      </w:r>
      <w:r>
        <w:rPr>
          <w:rFonts w:hint="eastAsia" w:ascii="仿宋_GB2312" w:hAnsi="仿宋_GB2312" w:eastAsia="仿宋_GB2312" w:cs="仿宋_GB2312"/>
          <w:b w:val="0"/>
          <w:bCs w:val="0"/>
          <w:sz w:val="32"/>
          <w:szCs w:val="32"/>
          <w:lang w:val="en-US" w:eastAsia="zh-CN"/>
        </w:rPr>
        <w:tab/>
      </w:r>
    </w:p>
    <w:p w14:paraId="048BA59B">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1501" w:leftChars="469" w:right="0" w:rightChars="0"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A.输出层</w:t>
      </w:r>
      <w:r>
        <w:rPr>
          <w:rFonts w:hint="eastAsia" w:ascii="仿宋_GB2312" w:hAnsi="仿宋_GB2312" w:eastAsia="仿宋_GB2312" w:cs="仿宋_GB2312"/>
          <w:b w:val="0"/>
          <w:bCs w:val="0"/>
          <w:sz w:val="32"/>
          <w:szCs w:val="32"/>
          <w:lang w:val="en-US" w:eastAsia="zh-CN"/>
        </w:rPr>
        <w:tab/>
      </w:r>
    </w:p>
    <w:p w14:paraId="6EE67A94">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1501" w:leftChars="469" w:right="0" w:rightChars="0"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B.反馈层</w:t>
      </w:r>
    </w:p>
    <w:p w14:paraId="350C71C9">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1501" w:leftChars="469" w:right="0" w:rightChars="0"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C.隐藏层</w:t>
      </w:r>
      <w:r>
        <w:rPr>
          <w:rFonts w:hint="eastAsia" w:ascii="仿宋_GB2312" w:hAnsi="仿宋_GB2312" w:eastAsia="仿宋_GB2312" w:cs="仿宋_GB2312"/>
          <w:b w:val="0"/>
          <w:bCs w:val="0"/>
          <w:sz w:val="32"/>
          <w:szCs w:val="32"/>
          <w:lang w:val="en-US" w:eastAsia="zh-CN"/>
        </w:rPr>
        <w:tab/>
      </w:r>
    </w:p>
    <w:p w14:paraId="2557DA2D">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1501" w:leftChars="469" w:right="0" w:rightChars="0"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D.输入层</w:t>
      </w:r>
    </w:p>
    <w:p w14:paraId="1CD5791A">
      <w:pPr>
        <w:pStyle w:val="10"/>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判断题（共 20 题，每题 0.5 分，共 10 分）</w:t>
      </w:r>
    </w:p>
    <w:p w14:paraId="237025DF">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 Sigmoid激活函数可以用于二分类问题的输出层。(√)</w:t>
      </w:r>
      <w:r>
        <w:rPr>
          <w:rFonts w:hint="eastAsia" w:ascii="仿宋_GB2312" w:hAnsi="仿宋_GB2312" w:eastAsia="仿宋_GB2312" w:cs="仿宋_GB2312"/>
          <w:b w:val="0"/>
          <w:bCs w:val="0"/>
          <w:sz w:val="32"/>
          <w:szCs w:val="32"/>
          <w:lang w:val="en-US" w:eastAsia="zh-CN"/>
        </w:rPr>
        <w:tab/>
      </w:r>
    </w:p>
    <w:p w14:paraId="60E55F40">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 交叉熵损失只能用于二分类问题。(×)</w:t>
      </w:r>
    </w:p>
    <w:p w14:paraId="42DF4D49">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p>
    <w:p w14:paraId="41168FB9">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 卷积层只能用于二维图像处理，不能用于其他类型的数据。(×)</w:t>
      </w:r>
    </w:p>
    <w:p w14:paraId="411DE47B">
      <w:pPr>
        <w:pStyle w:val="10"/>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多项选择题（共 20 题，每题 1.5 分，共 30 分）</w:t>
      </w:r>
    </w:p>
    <w:p w14:paraId="2781D382">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 以下哪些方法有助于解决过拟合问题？（ABCD）</w:t>
      </w:r>
    </w:p>
    <w:p w14:paraId="7A17BFA3">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A.引入正则化项</w:t>
      </w:r>
    </w:p>
    <w:p w14:paraId="4CBDED8D">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B.增加数据集大小</w:t>
      </w:r>
    </w:p>
    <w:p w14:paraId="2B2D3E9E">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C.提前终止训练</w:t>
      </w:r>
    </w:p>
    <w:p w14:paraId="5A6A3D4E">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D.减小模型复杂度</w:t>
      </w:r>
    </w:p>
    <w:p w14:paraId="77D8D9D6">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 以下哪些步骤构成了前向神经网络的基本训练过程？（BCD）</w:t>
      </w:r>
    </w:p>
    <w:p w14:paraId="0AA91A5D">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A.前向传播</w:t>
      </w:r>
    </w:p>
    <w:p w14:paraId="3D4C8F0A">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B.数据预处理</w:t>
      </w:r>
    </w:p>
    <w:p w14:paraId="4BE4C77E">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C.反向传播</w:t>
      </w:r>
    </w:p>
    <w:p w14:paraId="68991358">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D.权重更新</w:t>
      </w:r>
    </w:p>
    <w:p w14:paraId="6CBEFFB8">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p>
    <w:p w14:paraId="0EEF8DD3">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 以下关于前向神经网络的说法，哪些是正确的？（ABC）</w:t>
      </w:r>
    </w:p>
    <w:p w14:paraId="3928DEDB">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A.输入层负责接收数据</w:t>
      </w:r>
    </w:p>
    <w:p w14:paraId="3092D966">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B.隐藏层负责提取数据的特征</w:t>
      </w:r>
    </w:p>
    <w:p w14:paraId="261BDB1F">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C.输出层负责输出最终的结果</w:t>
      </w:r>
    </w:p>
    <w:p w14:paraId="2634F2A8">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D.前向神经网络只能处理线性关系</w:t>
      </w:r>
      <w:r>
        <w:rPr>
          <w:rFonts w:hint="eastAsia" w:ascii="仿宋_GB2312" w:hAnsi="仿宋_GB2312" w:eastAsia="仿宋_GB2312" w:cs="仿宋_GB2312"/>
          <w:b w:val="0"/>
          <w:bCs w:val="0"/>
          <w:sz w:val="32"/>
          <w:szCs w:val="32"/>
          <w:lang w:val="en-US" w:eastAsia="zh-CN"/>
        </w:rPr>
        <w:tab/>
      </w:r>
    </w:p>
    <w:p w14:paraId="0E5F160B">
      <w:r>
        <w:br w:type="page"/>
      </w:r>
    </w:p>
    <w:p w14:paraId="1F9267B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left"/>
        <w:textAlignment w:val="auto"/>
        <w:rPr>
          <w:rFonts w:hint="default" w:ascii="Times New Roman" w:hAnsi="Times New Roman" w:eastAsia="宋体" w:cs="Times New Roman"/>
          <w:b w:val="0"/>
          <w:bCs w:val="0"/>
          <w:sz w:val="32"/>
          <w:szCs w:val="32"/>
          <w:lang w:val="en-US" w:eastAsia="zh-CN"/>
        </w:rPr>
      </w:pPr>
      <w:r>
        <w:rPr>
          <w:rFonts w:hint="eastAsia" w:ascii="宋体" w:hAnsi="宋体" w:eastAsia="宋体" w:cs="宋体"/>
          <w:b w:val="0"/>
          <w:bCs w:val="0"/>
          <w:sz w:val="32"/>
          <w:szCs w:val="32"/>
          <w:lang w:val="en-US" w:eastAsia="zh-CN"/>
        </w:rPr>
        <w:t>附件</w:t>
      </w:r>
      <w:r>
        <w:rPr>
          <w:rFonts w:hint="default" w:ascii="Times New Roman" w:hAnsi="Times New Roman" w:eastAsia="宋体" w:cs="Times New Roman"/>
          <w:b w:val="0"/>
          <w:bCs w:val="0"/>
          <w:sz w:val="32"/>
          <w:szCs w:val="32"/>
          <w:lang w:val="en-US" w:eastAsia="zh-CN"/>
        </w:rPr>
        <w:t>2</w:t>
      </w:r>
    </w:p>
    <w:p w14:paraId="4C8B9DA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left"/>
        <w:textAlignment w:val="auto"/>
        <w:rPr>
          <w:rFonts w:hint="eastAsia" w:ascii="Times New Roman" w:hAnsi="Times New Roman" w:eastAsia="宋体" w:cs="Times New Roman"/>
          <w:b w:val="0"/>
          <w:bCs w:val="0"/>
          <w:sz w:val="32"/>
          <w:szCs w:val="32"/>
          <w:lang w:val="en-US" w:eastAsia="zh-CN"/>
        </w:rPr>
      </w:pPr>
    </w:p>
    <w:p w14:paraId="5314B3EE">
      <w:pPr>
        <w:adjustRightInd w:val="0"/>
        <w:snapToGrid w:val="0"/>
        <w:spacing w:line="560" w:lineRule="exact"/>
        <w:jc w:val="center"/>
        <w:rPr>
          <w:rFonts w:hint="eastAsia" w:ascii="Times New Roman" w:hAnsi="Times New Roman" w:eastAsia="方正小标宋简体" w:cs="Times New Roman"/>
          <w:sz w:val="44"/>
          <w:szCs w:val="44"/>
          <w:lang w:val="en-US" w:eastAsia="zh-CN" w:bidi="ar"/>
        </w:rPr>
      </w:pPr>
      <w:r>
        <w:rPr>
          <w:rFonts w:hint="eastAsia" w:ascii="Times New Roman" w:hAnsi="Times New Roman" w:eastAsia="方正小标宋简体" w:cs="Times New Roman"/>
          <w:sz w:val="44"/>
          <w:szCs w:val="44"/>
          <w:lang w:val="en-US" w:eastAsia="zh-CN" w:bidi="ar"/>
        </w:rPr>
        <w:t>2025年东莞市职业技能大赛人工智能训练师</w:t>
      </w:r>
    </w:p>
    <w:p w14:paraId="397CC9AE">
      <w:pPr>
        <w:adjustRightInd w:val="0"/>
        <w:snapToGrid w:val="0"/>
        <w:spacing w:line="560" w:lineRule="exact"/>
        <w:jc w:val="center"/>
        <w:rPr>
          <w:rFonts w:hint="eastAsia" w:ascii="Times New Roman" w:hAnsi="Times New Roman" w:eastAsia="方正小标宋简体" w:cs="Times New Roman"/>
          <w:sz w:val="44"/>
          <w:szCs w:val="44"/>
          <w:lang w:val="en-US" w:eastAsia="zh-CN" w:bidi="ar"/>
        </w:rPr>
      </w:pPr>
      <w:r>
        <w:rPr>
          <w:rFonts w:hint="eastAsia" w:ascii="Times New Roman" w:hAnsi="Times New Roman" w:eastAsia="方正小标宋简体" w:cs="Times New Roman"/>
          <w:sz w:val="44"/>
          <w:szCs w:val="44"/>
          <w:lang w:val="en-US" w:eastAsia="zh-CN" w:bidi="ar"/>
        </w:rPr>
        <w:t>项目实操技能考试样题</w:t>
      </w:r>
    </w:p>
    <w:p w14:paraId="2FDDFE7A">
      <w:pPr>
        <w:pStyle w:val="11"/>
        <w:spacing w:line="360" w:lineRule="auto"/>
        <w:ind w:firstLine="420" w:firstLineChars="0"/>
        <w:jc w:val="center"/>
        <w:rPr>
          <w:rFonts w:hint="eastAsia" w:asciiTheme="minorEastAsia" w:hAnsiTheme="minorEastAsia" w:eastAsiaTheme="minorEastAsia" w:cstheme="minorEastAsia"/>
          <w:b/>
          <w:bCs/>
          <w:sz w:val="32"/>
          <w:szCs w:val="32"/>
          <w:lang w:val="en-US" w:eastAsia="zh-CN"/>
        </w:rPr>
      </w:pPr>
    </w:p>
    <w:p w14:paraId="6AE694E0">
      <w:pPr>
        <w:pStyle w:val="11"/>
        <w:spacing w:line="360" w:lineRule="auto"/>
        <w:ind w:firstLine="420"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模块A：人工智能应用数据集制作</w:t>
      </w:r>
    </w:p>
    <w:p w14:paraId="2AEA3CED">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根据人工智能自动驾驶应用场景和所提供素材，完成竞赛平台的测试，在充分理解数据采集、数据标注、数据集划分、数据增强及数据可视化的基础上，基于提供的软件环境，在规定时间内完成规定格式数据集的制作，该数据集主要用于训练出一个能够识别出红绿灯模型、交通标志模型、行人模型、施工标志等物体的模型（权重）文件。 </w:t>
      </w:r>
    </w:p>
    <w:p w14:paraId="77302B22">
      <w:pPr>
        <w:pStyle w:val="11"/>
        <w:spacing w:line="360" w:lineRule="auto"/>
        <w:ind w:firstLine="420"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任务A1. 平台的配置与测试 </w:t>
      </w:r>
    </w:p>
    <w:p w14:paraId="0DF3ABCB">
      <w:pPr>
        <w:pStyle w:val="11"/>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根据任务要求，运用竞赛平台开发与测试工具，完成人工智能标注、训练及算法平台与</w:t>
      </w:r>
      <w:r>
        <w:rPr>
          <w:rFonts w:hint="eastAsia" w:asciiTheme="minorEastAsia" w:hAnsiTheme="minorEastAsia" w:eastAsiaTheme="minorEastAsia" w:cstheme="minorEastAsia"/>
          <w:sz w:val="28"/>
          <w:szCs w:val="28"/>
          <w:lang w:eastAsia="zh-CN"/>
        </w:rPr>
        <w:t>无人驾驶小车</w:t>
      </w:r>
      <w:r>
        <w:rPr>
          <w:rFonts w:hint="eastAsia" w:asciiTheme="minorEastAsia" w:hAnsiTheme="minorEastAsia" w:eastAsiaTheme="minorEastAsia" w:cstheme="minorEastAsia"/>
          <w:sz w:val="28"/>
          <w:szCs w:val="28"/>
        </w:rPr>
        <w:t xml:space="preserve">的配置与测试。 </w:t>
      </w:r>
    </w:p>
    <w:p w14:paraId="581248B6">
      <w:pPr>
        <w:pStyle w:val="11"/>
        <w:numPr>
          <w:ilvl w:val="0"/>
          <w:numId w:val="6"/>
        </w:numPr>
        <w:spacing w:line="360" w:lineRule="auto"/>
        <w:ind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具体任务要求：</w:t>
      </w:r>
    </w:p>
    <w:p w14:paraId="507C5046">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（1）测试</w:t>
      </w:r>
      <w:r>
        <w:rPr>
          <w:rFonts w:hint="eastAsia" w:asciiTheme="minorEastAsia" w:hAnsiTheme="minorEastAsia" w:eastAsiaTheme="minorEastAsia" w:cstheme="minorEastAsia"/>
          <w:sz w:val="28"/>
          <w:szCs w:val="28"/>
          <w:lang w:val="en-US" w:eastAsia="zh-CN"/>
        </w:rPr>
        <w:t>无人驾驶小车</w:t>
      </w:r>
      <w:r>
        <w:rPr>
          <w:rFonts w:hint="eastAsia" w:asciiTheme="minorEastAsia" w:hAnsiTheme="minorEastAsia" w:eastAsiaTheme="minorEastAsia" w:cstheme="minorEastAsia"/>
          <w:sz w:val="28"/>
          <w:szCs w:val="28"/>
        </w:rPr>
        <w:t>运动单元、通过</w:t>
      </w:r>
      <w:r>
        <w:rPr>
          <w:rFonts w:hint="eastAsia" w:asciiTheme="minorEastAsia" w:hAnsiTheme="minorEastAsia" w:eastAsiaTheme="minorEastAsia" w:cstheme="minorEastAsia"/>
          <w:sz w:val="28"/>
          <w:szCs w:val="28"/>
          <w:lang w:val="en-US" w:eastAsia="zh-CN"/>
        </w:rPr>
        <w:t>无人驾驶小车</w:t>
      </w:r>
      <w:r>
        <w:rPr>
          <w:rFonts w:hint="eastAsia" w:asciiTheme="minorEastAsia" w:hAnsiTheme="minorEastAsia" w:eastAsiaTheme="minorEastAsia" w:cstheme="minorEastAsia"/>
          <w:sz w:val="28"/>
          <w:szCs w:val="28"/>
        </w:rPr>
        <w:t>现有的运动驱动、键盘控制等功能接口函数和程序,使用键盘控制</w:t>
      </w:r>
      <w:r>
        <w:rPr>
          <w:rFonts w:hint="eastAsia" w:asciiTheme="minorEastAsia" w:hAnsiTheme="minorEastAsia" w:eastAsiaTheme="minorEastAsia" w:cstheme="minorEastAsia"/>
          <w:sz w:val="28"/>
          <w:szCs w:val="28"/>
          <w:lang w:val="en-US" w:eastAsia="zh-CN"/>
        </w:rPr>
        <w:t>无人驾驶小车</w:t>
      </w:r>
      <w:r>
        <w:rPr>
          <w:rFonts w:hint="eastAsia" w:asciiTheme="minorEastAsia" w:hAnsiTheme="minorEastAsia" w:eastAsiaTheme="minorEastAsia" w:cstheme="minorEastAsia"/>
          <w:sz w:val="28"/>
          <w:szCs w:val="28"/>
        </w:rPr>
        <w:t xml:space="preserve">实现前进、后退等运动。 </w:t>
      </w:r>
    </w:p>
    <w:p w14:paraId="4C206552">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（2）测试</w:t>
      </w:r>
      <w:r>
        <w:rPr>
          <w:rFonts w:hint="eastAsia" w:asciiTheme="minorEastAsia" w:hAnsiTheme="minorEastAsia" w:eastAsiaTheme="minorEastAsia" w:cstheme="minorEastAsia"/>
          <w:sz w:val="28"/>
          <w:szCs w:val="28"/>
          <w:lang w:val="en-US" w:eastAsia="zh-CN"/>
        </w:rPr>
        <w:t>无人驾驶小车</w:t>
      </w:r>
      <w:r>
        <w:rPr>
          <w:rFonts w:hint="eastAsia" w:asciiTheme="minorEastAsia" w:hAnsiTheme="minorEastAsia" w:eastAsiaTheme="minorEastAsia" w:cstheme="minorEastAsia"/>
          <w:sz w:val="28"/>
          <w:szCs w:val="28"/>
        </w:rPr>
        <w:t>感知单元、通过</w:t>
      </w:r>
      <w:r>
        <w:rPr>
          <w:rFonts w:hint="eastAsia" w:asciiTheme="minorEastAsia" w:hAnsiTheme="minorEastAsia" w:eastAsiaTheme="minorEastAsia" w:cstheme="minorEastAsia"/>
          <w:sz w:val="28"/>
          <w:szCs w:val="28"/>
          <w:lang w:val="en-US" w:eastAsia="zh-CN"/>
        </w:rPr>
        <w:t>无人驾驶小车</w:t>
      </w:r>
      <w:r>
        <w:rPr>
          <w:rFonts w:hint="eastAsia" w:asciiTheme="minorEastAsia" w:hAnsiTheme="minorEastAsia" w:eastAsiaTheme="minorEastAsia" w:cstheme="minorEastAsia"/>
          <w:sz w:val="28"/>
          <w:szCs w:val="28"/>
        </w:rPr>
        <w:t xml:space="preserve">现有的图像获取、感知数据读取等功能接口函数和程序，获取摄像头的实时图像画面。 </w:t>
      </w:r>
    </w:p>
    <w:p w14:paraId="2453DF54">
      <w:pPr>
        <w:pStyle w:val="11"/>
        <w:spacing w:line="360" w:lineRule="auto"/>
        <w:ind w:firstLine="420"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任务 A2.人工智能应用数据集采集</w:t>
      </w:r>
    </w:p>
    <w:p w14:paraId="40AB60D9">
      <w:pPr>
        <w:pStyle w:val="11"/>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根据任务要求，基于人工智能自动驾驶应用场景，使用人工智能标注、训练及算法平台完成要求数量张数的图像采集。</w:t>
      </w:r>
    </w:p>
    <w:p w14:paraId="09AF3BAD">
      <w:pPr>
        <w:pStyle w:val="11"/>
        <w:numPr>
          <w:ilvl w:val="0"/>
          <w:numId w:val="7"/>
        </w:numPr>
        <w:spacing w:line="360" w:lineRule="auto"/>
        <w:ind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具体任务要求：</w:t>
      </w:r>
    </w:p>
    <w:p w14:paraId="2DC97F45">
      <w:pPr>
        <w:pStyle w:val="11"/>
        <w:numPr>
          <w:ilvl w:val="0"/>
          <w:numId w:val="8"/>
        </w:numPr>
        <w:spacing w:line="360" w:lineRule="auto"/>
        <w:ind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基于人工智能自动驾驶应用场景，根据识别任务要求，使用</w:t>
      </w:r>
      <w:r>
        <w:rPr>
          <w:rFonts w:hint="eastAsia" w:asciiTheme="minorEastAsia" w:hAnsiTheme="minorEastAsia" w:eastAsiaTheme="minorEastAsia" w:cstheme="minorEastAsia"/>
          <w:sz w:val="28"/>
          <w:szCs w:val="28"/>
          <w:lang w:eastAsia="zh-CN"/>
        </w:rPr>
        <w:t>无人驾驶小车</w:t>
      </w:r>
      <w:r>
        <w:rPr>
          <w:rFonts w:hint="eastAsia" w:asciiTheme="minorEastAsia" w:hAnsiTheme="minorEastAsia" w:eastAsiaTheme="minorEastAsia" w:cstheme="minorEastAsia"/>
          <w:sz w:val="28"/>
          <w:szCs w:val="28"/>
        </w:rPr>
        <w:t>1号摄像头完成</w:t>
      </w:r>
      <w:r>
        <w:rPr>
          <w:rFonts w:hint="eastAsia" w:asciiTheme="minorEastAsia" w:hAnsiTheme="minorEastAsia" w:eastAsiaTheme="minorEastAsia" w:cstheme="minorEastAsia"/>
          <w:sz w:val="28"/>
          <w:szCs w:val="28"/>
          <w:lang w:val="en-US" w:eastAsia="zh-CN"/>
        </w:rPr>
        <w:t>交通</w:t>
      </w:r>
      <w:r>
        <w:rPr>
          <w:rFonts w:hint="eastAsia" w:asciiTheme="minorEastAsia" w:hAnsiTheme="minorEastAsia" w:eastAsiaTheme="minorEastAsia" w:cstheme="minorEastAsia"/>
          <w:sz w:val="28"/>
          <w:szCs w:val="28"/>
        </w:rPr>
        <w:t>标志高质量图像采集</w:t>
      </w:r>
      <w:r>
        <w:rPr>
          <w:rFonts w:hint="eastAsia" w:asciiTheme="minorEastAsia" w:hAnsiTheme="minorEastAsia" w:eastAsiaTheme="minorEastAsia" w:cstheme="minorEastAsia"/>
          <w:sz w:val="28"/>
          <w:szCs w:val="28"/>
          <w:lang w:eastAsia="zh-CN"/>
        </w:rPr>
        <w:t>。</w:t>
      </w:r>
    </w:p>
    <w:p w14:paraId="002EC953">
      <w:pPr>
        <w:pStyle w:val="11"/>
        <w:numPr>
          <w:ilvl w:val="0"/>
          <w:numId w:val="0"/>
        </w:numPr>
        <w:spacing w:line="360" w:lineRule="auto"/>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w:t>
      </w:r>
    </w:p>
    <w:p w14:paraId="274DF660">
      <w:pPr>
        <w:pStyle w:val="11"/>
        <w:numPr>
          <w:ilvl w:val="0"/>
          <w:numId w:val="0"/>
        </w:numPr>
        <w:spacing w:line="360" w:lineRule="auto"/>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w:t>
      </w:r>
    </w:p>
    <w:p w14:paraId="1E30A887">
      <w:pPr>
        <w:pStyle w:val="11"/>
        <w:numPr>
          <w:ilvl w:val="0"/>
          <w:numId w:val="0"/>
        </w:numPr>
        <w:spacing w:line="360" w:lineRule="auto"/>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w:t>
      </w:r>
    </w:p>
    <w:p w14:paraId="6EEB6E51">
      <w:pPr>
        <w:pStyle w:val="11"/>
        <w:spacing w:line="360" w:lineRule="auto"/>
        <w:ind w:firstLine="420"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模块B：人工智能应用模型训练</w:t>
      </w:r>
    </w:p>
    <w:p w14:paraId="58F3FC7B">
      <w:pPr>
        <w:pStyle w:val="11"/>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根据模块 A 中制作的规定格式数据集，在充分理解网络重构、参数调优、模型训练、模型验证及模型评估的基础上，基于提供的软件环境，在规定时间内训练出一个能以较高的准确率对未知图像中目标物体进行检测和分类的模型。</w:t>
      </w:r>
    </w:p>
    <w:p w14:paraId="2329D99F">
      <w:pPr>
        <w:pStyle w:val="11"/>
        <w:spacing w:line="360" w:lineRule="auto"/>
        <w:ind w:firstLine="420"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任务B1.人工智能应用模型训练</w:t>
      </w:r>
    </w:p>
    <w:p w14:paraId="178E618F">
      <w:pPr>
        <w:pStyle w:val="11"/>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根据提供的模型训练算法环境，导入制作的数据集，按要求选择指定模型，通过模型的参数调节，完成模型训练，并展示模型训练过程中评估指标的变化情况。</w:t>
      </w:r>
    </w:p>
    <w:p w14:paraId="4C4178A6">
      <w:pPr>
        <w:pStyle w:val="11"/>
        <w:numPr>
          <w:ilvl w:val="0"/>
          <w:numId w:val="9"/>
        </w:numPr>
        <w:spacing w:line="360" w:lineRule="auto"/>
        <w:ind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具体任务要求：</w:t>
      </w:r>
    </w:p>
    <w:p w14:paraId="06BE6002">
      <w:pPr>
        <w:pStyle w:val="11"/>
        <w:numPr>
          <w:ilvl w:val="0"/>
          <w:numId w:val="10"/>
        </w:numPr>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基于提供的人工智能算法平台，导入规定格式数据集。根据数据集的数据特点，配置</w:t>
      </w:r>
      <w:r>
        <w:rPr>
          <w:rFonts w:hint="eastAsia" w:asciiTheme="minorEastAsia" w:hAnsiTheme="minorEastAsia" w:eastAsiaTheme="minorEastAsia" w:cstheme="minorEastAsia"/>
          <w:sz w:val="28"/>
          <w:szCs w:val="28"/>
          <w:lang w:val="en-US" w:eastAsia="zh-CN"/>
        </w:rPr>
        <w:t>模型</w:t>
      </w:r>
      <w:r>
        <w:rPr>
          <w:rFonts w:hint="eastAsia" w:asciiTheme="minorEastAsia" w:hAnsiTheme="minorEastAsia" w:eastAsiaTheme="minorEastAsia" w:cstheme="minorEastAsia"/>
          <w:sz w:val="28"/>
          <w:szCs w:val="28"/>
        </w:rPr>
        <w:t>训练</w:t>
      </w:r>
      <w:r>
        <w:rPr>
          <w:rFonts w:hint="eastAsia" w:asciiTheme="minorEastAsia" w:hAnsiTheme="minorEastAsia" w:eastAsiaTheme="minorEastAsia" w:cstheme="minorEastAsia"/>
          <w:sz w:val="28"/>
          <w:szCs w:val="28"/>
          <w:lang w:val="en-US" w:eastAsia="zh-CN"/>
        </w:rPr>
        <w:t>所需的</w:t>
      </w:r>
      <w:r>
        <w:rPr>
          <w:rFonts w:hint="eastAsia" w:asciiTheme="minorEastAsia" w:hAnsiTheme="minorEastAsia" w:eastAsiaTheme="minorEastAsia" w:cstheme="minorEastAsia"/>
          <w:sz w:val="28"/>
          <w:szCs w:val="28"/>
        </w:rPr>
        <w:t>配置文件。</w:t>
      </w:r>
    </w:p>
    <w:p w14:paraId="390CD422">
      <w:pPr>
        <w:pStyle w:val="11"/>
        <w:spacing w:line="360" w:lineRule="auto"/>
        <w:ind w:firstLine="420"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任务B2.人工智能应用模型验证</w:t>
      </w:r>
    </w:p>
    <w:p w14:paraId="3C32E422">
      <w:pPr>
        <w:pStyle w:val="11"/>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任务要求，输出模型，对图像进行模型识别验证，提高模型识别的准确率。同时展示相应模型的综合评估指标，根据模型识别的准确率，判断是否需要回到人工智能算法平台上重新调整网络模型参数进行迭代训练。</w:t>
      </w:r>
    </w:p>
    <w:p w14:paraId="0766C6A5">
      <w:pPr>
        <w:pStyle w:val="11"/>
        <w:numPr>
          <w:ilvl w:val="0"/>
          <w:numId w:val="11"/>
        </w:numPr>
        <w:spacing w:line="360" w:lineRule="auto"/>
        <w:ind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具体任务要求： </w:t>
      </w:r>
    </w:p>
    <w:p w14:paraId="09C6BD8E">
      <w:pPr>
        <w:pStyle w:val="11"/>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）编写相关程序，通过可视化开发环境使用生成的模型对未知数据集进行图片验证。</w:t>
      </w:r>
    </w:p>
    <w:p w14:paraId="47DEC0E0">
      <w:pPr>
        <w:pStyle w:val="11"/>
        <w:spacing w:line="360" w:lineRule="auto"/>
        <w:ind w:left="0" w:leftChars="0" w:firstLine="0" w:firstLineChars="0"/>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w:t>
      </w:r>
    </w:p>
    <w:p w14:paraId="3EDF7104">
      <w:pPr>
        <w:pStyle w:val="11"/>
        <w:spacing w:line="360" w:lineRule="auto"/>
        <w:ind w:left="0" w:leftChars="0" w:firstLine="0" w:firstLineChars="0"/>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w:t>
      </w:r>
    </w:p>
    <w:p w14:paraId="427B6C39">
      <w:pPr>
        <w:pStyle w:val="11"/>
        <w:spacing w:line="360" w:lineRule="auto"/>
        <w:ind w:left="0" w:leftChars="0" w:firstLine="0" w:firstLineChars="0"/>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w:t>
      </w:r>
    </w:p>
    <w:p w14:paraId="66E2CF1F">
      <w:pPr>
        <w:pStyle w:val="11"/>
        <w:spacing w:line="360" w:lineRule="auto"/>
        <w:ind w:firstLine="420"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模块C：智能自动驾驶场景综合应用</w:t>
      </w:r>
    </w:p>
    <w:p w14:paraId="2630B4A6">
      <w:pPr>
        <w:pStyle w:val="11"/>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根据任务要求，将经过充分训练的智能驾驶模型成功部署到指定的</w:t>
      </w:r>
      <w:r>
        <w:rPr>
          <w:rFonts w:hint="eastAsia" w:asciiTheme="minorEastAsia" w:hAnsiTheme="minorEastAsia" w:eastAsiaTheme="minorEastAsia" w:cstheme="minorEastAsia"/>
          <w:sz w:val="28"/>
          <w:szCs w:val="28"/>
          <w:lang w:eastAsia="zh-CN"/>
        </w:rPr>
        <w:t>无人驾驶小车</w:t>
      </w:r>
      <w:r>
        <w:rPr>
          <w:rFonts w:hint="eastAsia" w:asciiTheme="minorEastAsia" w:hAnsiTheme="minorEastAsia" w:eastAsiaTheme="minorEastAsia" w:cstheme="minorEastAsia"/>
          <w:sz w:val="28"/>
          <w:szCs w:val="28"/>
        </w:rPr>
        <w:t>。该模型将通过综合感知和分析，以实时、高效的方式进行各种路况的智能识别和分析，包括但不限于红绿灯状态识别、道路转向判断、交通标志辨识等复杂的自动驾驶任务。</w:t>
      </w:r>
    </w:p>
    <w:p w14:paraId="358F1CB9">
      <w:pPr>
        <w:pStyle w:val="11"/>
        <w:spacing w:line="360" w:lineRule="auto"/>
        <w:ind w:firstLine="420"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任务C1.基于真实道路的综合测试 </w:t>
      </w:r>
    </w:p>
    <w:p w14:paraId="4E4DA592">
      <w:pPr>
        <w:pStyle w:val="11"/>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根据任务要求，基于人工智能自动驾驶应用场景和智能自动驾驶场景应用接口程序，通过配置、编程与调试，结合界面交互等功能，完成规定场景下道路路况的识别，并根据识别结果，控制</w:t>
      </w:r>
      <w:r>
        <w:rPr>
          <w:rFonts w:hint="eastAsia" w:asciiTheme="minorEastAsia" w:hAnsiTheme="minorEastAsia" w:eastAsiaTheme="minorEastAsia" w:cstheme="minorEastAsia"/>
          <w:sz w:val="28"/>
          <w:szCs w:val="28"/>
          <w:lang w:eastAsia="zh-CN"/>
        </w:rPr>
        <w:t>无人驾驶小车</w:t>
      </w:r>
      <w:r>
        <w:rPr>
          <w:rFonts w:hint="eastAsia" w:asciiTheme="minorEastAsia" w:hAnsiTheme="minorEastAsia" w:eastAsiaTheme="minorEastAsia" w:cstheme="minorEastAsia"/>
          <w:sz w:val="28"/>
          <w:szCs w:val="28"/>
        </w:rPr>
        <w:t>做出相应的动作，实现智能自动驾驶场景综合应用。</w:t>
      </w:r>
    </w:p>
    <w:p w14:paraId="13D5AD01">
      <w:pPr>
        <w:pStyle w:val="11"/>
        <w:numPr>
          <w:ilvl w:val="0"/>
          <w:numId w:val="12"/>
        </w:numPr>
        <w:spacing w:line="360" w:lineRule="auto"/>
        <w:ind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具体任务要求：</w:t>
      </w:r>
    </w:p>
    <w:p w14:paraId="6C75BC20">
      <w:pPr>
        <w:pStyle w:val="11"/>
        <w:numPr>
          <w:ilvl w:val="0"/>
          <w:numId w:val="13"/>
        </w:numPr>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将智能驾驶模型部署到</w:t>
      </w:r>
      <w:r>
        <w:rPr>
          <w:rFonts w:hint="eastAsia" w:asciiTheme="minorEastAsia" w:hAnsiTheme="minorEastAsia" w:eastAsiaTheme="minorEastAsia" w:cstheme="minorEastAsia"/>
          <w:sz w:val="28"/>
          <w:szCs w:val="28"/>
          <w:lang w:eastAsia="zh-CN"/>
        </w:rPr>
        <w:t>无人驾驶小车</w:t>
      </w:r>
      <w:r>
        <w:rPr>
          <w:rFonts w:hint="eastAsia" w:asciiTheme="minorEastAsia" w:hAnsiTheme="minorEastAsia" w:eastAsiaTheme="minorEastAsia" w:cstheme="minorEastAsia"/>
          <w:sz w:val="28"/>
          <w:szCs w:val="28"/>
        </w:rPr>
        <w:t>，编写</w:t>
      </w:r>
      <w:r>
        <w:rPr>
          <w:rFonts w:hint="eastAsia" w:asciiTheme="minorEastAsia" w:hAnsiTheme="minorEastAsia" w:eastAsiaTheme="minorEastAsia" w:cstheme="minorEastAsia"/>
          <w:sz w:val="28"/>
          <w:szCs w:val="28"/>
          <w:lang w:eastAsia="zh-CN"/>
        </w:rPr>
        <w:t>无人驾驶小车</w:t>
      </w:r>
      <w:r>
        <w:rPr>
          <w:rFonts w:hint="eastAsia" w:asciiTheme="minorEastAsia" w:hAnsiTheme="minorEastAsia" w:eastAsiaTheme="minorEastAsia" w:cstheme="minorEastAsia"/>
          <w:sz w:val="28"/>
          <w:szCs w:val="28"/>
        </w:rPr>
        <w:t>智能自动驾驶场景应用接口程序及控制逻辑，控制人工智能自动驾驶应用场景下的智能自动驾驶功能，实现对人工智能自动驾驶应用场景下车道线、行人模型等相关交通标志的检测，完成</w:t>
      </w:r>
      <w:r>
        <w:rPr>
          <w:rFonts w:hint="eastAsia" w:asciiTheme="minorEastAsia" w:hAnsiTheme="minorEastAsia" w:eastAsiaTheme="minorEastAsia" w:cstheme="minorEastAsia"/>
          <w:sz w:val="28"/>
          <w:szCs w:val="28"/>
          <w:lang w:eastAsia="zh-CN"/>
        </w:rPr>
        <w:t>无人驾驶小车</w:t>
      </w:r>
      <w:r>
        <w:rPr>
          <w:rFonts w:hint="eastAsia" w:asciiTheme="minorEastAsia" w:hAnsiTheme="minorEastAsia" w:eastAsiaTheme="minorEastAsia" w:cstheme="minorEastAsia"/>
          <w:sz w:val="28"/>
          <w:szCs w:val="28"/>
        </w:rPr>
        <w:t xml:space="preserve">基于人工智能自动驾驶应用场景的自适应巡航及目标检测功能，同时运行相应动作。 </w:t>
      </w:r>
    </w:p>
    <w:p w14:paraId="3CBE1E01">
      <w:pPr>
        <w:pStyle w:val="11"/>
        <w:numPr>
          <w:ilvl w:val="0"/>
          <w:numId w:val="0"/>
        </w:numPr>
        <w:spacing w:line="360" w:lineRule="auto"/>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w:t>
      </w:r>
    </w:p>
    <w:p w14:paraId="789BA069">
      <w:pPr>
        <w:pStyle w:val="11"/>
        <w:numPr>
          <w:ilvl w:val="0"/>
          <w:numId w:val="0"/>
        </w:numPr>
        <w:spacing w:line="360" w:lineRule="auto"/>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w:t>
      </w:r>
    </w:p>
    <w:p w14:paraId="3FBE4D4B">
      <w:pPr>
        <w:pStyle w:val="11"/>
        <w:numPr>
          <w:ilvl w:val="0"/>
          <w:numId w:val="0"/>
        </w:num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w:t>
      </w:r>
    </w:p>
    <w:p w14:paraId="1E1C2BE6">
      <w:pPr>
        <w:pStyle w:val="11"/>
        <w:spacing w:line="360" w:lineRule="auto"/>
        <w:ind w:firstLine="420"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模块D：安全意识与职业素养</w:t>
      </w:r>
    </w:p>
    <w:p w14:paraId="39CCD4AC">
      <w:pPr>
        <w:pStyle w:val="11"/>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根据任务要求，严格按照操作规程和工艺准则，遵守安全操作要求，各参赛队要发扬良好道德风尚，听从指挥，服从裁判，不弄虚作假。 </w:t>
      </w:r>
    </w:p>
    <w:p w14:paraId="02079438">
      <w:pPr>
        <w:pStyle w:val="11"/>
        <w:numPr>
          <w:ilvl w:val="0"/>
          <w:numId w:val="14"/>
        </w:numPr>
        <w:spacing w:line="360" w:lineRule="auto"/>
        <w:ind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具体任务要求：</w:t>
      </w:r>
      <w:r>
        <w:rPr>
          <w:rFonts w:hint="eastAsia" w:asciiTheme="minorEastAsia" w:hAnsiTheme="minorEastAsia" w:eastAsiaTheme="minorEastAsia" w:cstheme="minorEastAsia"/>
          <w:sz w:val="28"/>
          <w:szCs w:val="28"/>
        </w:rPr>
        <w:t xml:space="preserve"> </w:t>
      </w:r>
    </w:p>
    <w:p w14:paraId="77CDD1A0">
      <w:pPr>
        <w:pStyle w:val="11"/>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（1）严格遵循相关职业素养要求及安全规范；文明参赛、保持安全意识。 </w:t>
      </w:r>
    </w:p>
    <w:p w14:paraId="2DEFEA8E">
      <w:pPr>
        <w:pStyle w:val="11"/>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（2）及时为设备充电，防止设备因电量过低而自动下电。 </w:t>
      </w:r>
    </w:p>
    <w:p w14:paraId="680604B4">
      <w:pPr>
        <w:pStyle w:val="11"/>
        <w:spacing w:line="360" w:lineRule="auto"/>
        <w:ind w:firstLine="42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（3）按照职业规范及要求归档相关资料。 </w:t>
      </w:r>
    </w:p>
    <w:p w14:paraId="7D5B3F48">
      <w:pPr>
        <w:pStyle w:val="11"/>
        <w:spacing w:line="360" w:lineRule="auto"/>
        <w:ind w:firstLine="420"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（4）规范使用及操作设备，比赛过程中，未损坏任何设备；若设备、工具、仪器跌落，应及时放置于安全位置；比赛完成后，将设备、工具、仪器恢复至原位。</w:t>
      </w:r>
    </w:p>
    <w:p w14:paraId="00E63E9F">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pPr>
    </w:p>
    <w:sectPr>
      <w:footerReference r:id="rId4" w:type="default"/>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康简标题宋">
    <w:altName w:val="宋体"/>
    <w:panose1 w:val="02010609000101010101"/>
    <w:charset w:val="00"/>
    <w:family w:val="modern"/>
    <w:pitch w:val="default"/>
    <w:sig w:usb0="00000000" w:usb1="00000000" w:usb2="00000000" w:usb3="00000000" w:csb0="00000000" w:csb1="00000000"/>
  </w:font>
  <w:font w:name="Inria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New Roman (Headings CS)">
    <w:altName w:val="Times New Roman"/>
    <w:panose1 w:val="00000000000000000000"/>
    <w:charset w:val="00"/>
    <w:family w:val="modern"/>
    <w:pitch w:val="default"/>
    <w:sig w:usb0="00000000" w:usb1="00000000" w:usb2="00000000" w:usb3="00000000" w:csb0="00000001" w:csb1="00000000"/>
  </w:font>
  <w:font w:name="Frutiger LT Com 45 Light">
    <w:altName w:val="Segoe Print"/>
    <w:panose1 w:val="00000000000000000000"/>
    <w:charset w:val="00"/>
    <w:family w:val="decorative"/>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78A78">
    <w:pPr>
      <w:pStyle w:val="6"/>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06306">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F06306">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24EDE">
    <w:pPr>
      <w:pStyle w:val="6"/>
      <w:tabs>
        <w:tab w:val="clear" w:pos="4153"/>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A5F1E">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B6A5F1E">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985C2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3985C26"/>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EEA14"/>
    <w:multiLevelType w:val="singleLevel"/>
    <w:tmpl w:val="9EEEEA14"/>
    <w:lvl w:ilvl="0" w:tentative="0">
      <w:start w:val="1"/>
      <w:numFmt w:val="bullet"/>
      <w:lvlText w:val=""/>
      <w:lvlJc w:val="left"/>
      <w:pPr>
        <w:tabs>
          <w:tab w:val="left" w:pos="420"/>
        </w:tabs>
        <w:ind w:left="840" w:hanging="420"/>
      </w:pPr>
      <w:rPr>
        <w:rFonts w:hint="default" w:ascii="Wingdings" w:hAnsi="Wingdings"/>
      </w:rPr>
    </w:lvl>
  </w:abstractNum>
  <w:abstractNum w:abstractNumId="1">
    <w:nsid w:val="BE562B13"/>
    <w:multiLevelType w:val="singleLevel"/>
    <w:tmpl w:val="BE562B13"/>
    <w:lvl w:ilvl="0" w:tentative="0">
      <w:start w:val="1"/>
      <w:numFmt w:val="bullet"/>
      <w:lvlText w:val=""/>
      <w:lvlJc w:val="left"/>
      <w:pPr>
        <w:tabs>
          <w:tab w:val="left" w:pos="420"/>
        </w:tabs>
        <w:ind w:left="840" w:hanging="420"/>
      </w:pPr>
      <w:rPr>
        <w:rFonts w:hint="default" w:ascii="Wingdings" w:hAnsi="Wingdings"/>
      </w:rPr>
    </w:lvl>
  </w:abstractNum>
  <w:abstractNum w:abstractNumId="2">
    <w:nsid w:val="DCD29C2B"/>
    <w:multiLevelType w:val="singleLevel"/>
    <w:tmpl w:val="DCD29C2B"/>
    <w:lvl w:ilvl="0" w:tentative="0">
      <w:start w:val="2"/>
      <w:numFmt w:val="decimal"/>
      <w:suff w:val="space"/>
      <w:lvlText w:val="%1."/>
      <w:lvlJc w:val="left"/>
    </w:lvl>
  </w:abstractNum>
  <w:abstractNum w:abstractNumId="3">
    <w:nsid w:val="DE8292E4"/>
    <w:multiLevelType w:val="singleLevel"/>
    <w:tmpl w:val="DE8292E4"/>
    <w:lvl w:ilvl="0" w:tentative="0">
      <w:start w:val="1"/>
      <w:numFmt w:val="bullet"/>
      <w:lvlText w:val=""/>
      <w:lvlJc w:val="left"/>
      <w:pPr>
        <w:tabs>
          <w:tab w:val="left" w:pos="420"/>
        </w:tabs>
        <w:ind w:left="840" w:hanging="420"/>
      </w:pPr>
      <w:rPr>
        <w:rFonts w:hint="default" w:ascii="Wingdings" w:hAnsi="Wingdings"/>
      </w:rPr>
    </w:lvl>
  </w:abstractNum>
  <w:abstractNum w:abstractNumId="4">
    <w:nsid w:val="EF679E61"/>
    <w:multiLevelType w:val="singleLevel"/>
    <w:tmpl w:val="EF679E61"/>
    <w:lvl w:ilvl="0" w:tentative="0">
      <w:start w:val="1"/>
      <w:numFmt w:val="decimal"/>
      <w:suff w:val="nothing"/>
      <w:lvlText w:val="（%1）"/>
      <w:lvlJc w:val="left"/>
    </w:lvl>
  </w:abstractNum>
  <w:abstractNum w:abstractNumId="5">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abstractNum w:abstractNumId="6">
    <w:nsid w:val="00000003"/>
    <w:multiLevelType w:val="multilevel"/>
    <w:tmpl w:val="00000003"/>
    <w:lvl w:ilvl="0" w:tentative="0">
      <w:start w:val="4"/>
      <w:numFmt w:val="japaneseCounting"/>
      <w:pStyle w:val="18"/>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66FC8FE"/>
    <w:multiLevelType w:val="singleLevel"/>
    <w:tmpl w:val="066FC8FE"/>
    <w:lvl w:ilvl="0" w:tentative="0">
      <w:start w:val="1"/>
      <w:numFmt w:val="decimal"/>
      <w:suff w:val="nothing"/>
      <w:lvlText w:val="（%1）"/>
      <w:lvlJc w:val="left"/>
    </w:lvl>
  </w:abstractNum>
  <w:abstractNum w:abstractNumId="8">
    <w:nsid w:val="072C3345"/>
    <w:multiLevelType w:val="singleLevel"/>
    <w:tmpl w:val="072C3345"/>
    <w:lvl w:ilvl="0" w:tentative="0">
      <w:start w:val="1"/>
      <w:numFmt w:val="bullet"/>
      <w:lvlText w:val=""/>
      <w:lvlJc w:val="left"/>
      <w:pPr>
        <w:tabs>
          <w:tab w:val="left" w:pos="420"/>
        </w:tabs>
        <w:ind w:left="840" w:hanging="420"/>
      </w:pPr>
      <w:rPr>
        <w:rFonts w:hint="default" w:ascii="Wingdings" w:hAnsi="Wingdings"/>
      </w:rPr>
    </w:lvl>
  </w:abstractNum>
  <w:abstractNum w:abstractNumId="9">
    <w:nsid w:val="0C5F2660"/>
    <w:multiLevelType w:val="singleLevel"/>
    <w:tmpl w:val="0C5F2660"/>
    <w:lvl w:ilvl="0" w:tentative="0">
      <w:start w:val="1"/>
      <w:numFmt w:val="chineseCounting"/>
      <w:suff w:val="nothing"/>
      <w:lvlText w:val="%1、"/>
      <w:lvlJc w:val="left"/>
      <w:rPr>
        <w:rFonts w:hint="eastAsia"/>
      </w:rPr>
    </w:lvl>
  </w:abstractNum>
  <w:abstractNum w:abstractNumId="10">
    <w:nsid w:val="1886ADBB"/>
    <w:multiLevelType w:val="singleLevel"/>
    <w:tmpl w:val="1886ADBB"/>
    <w:lvl w:ilvl="0" w:tentative="0">
      <w:start w:val="1"/>
      <w:numFmt w:val="bullet"/>
      <w:lvlText w:val=""/>
      <w:lvlJc w:val="left"/>
      <w:pPr>
        <w:tabs>
          <w:tab w:val="left" w:pos="420"/>
        </w:tabs>
        <w:ind w:left="840" w:hanging="420"/>
      </w:pPr>
      <w:rPr>
        <w:rFonts w:hint="default" w:ascii="Wingdings" w:hAnsi="Wingdings"/>
      </w:rPr>
    </w:lvl>
  </w:abstractNum>
  <w:abstractNum w:abstractNumId="11">
    <w:nsid w:val="2E011F39"/>
    <w:multiLevelType w:val="multilevel"/>
    <w:tmpl w:val="2E011F39"/>
    <w:lvl w:ilvl="0" w:tentative="0">
      <w:start w:val="1"/>
      <w:numFmt w:val="decimal"/>
      <w:lvlText w:val="%1"/>
      <w:lvlJc w:val="left"/>
      <w:pPr>
        <w:ind w:left="582" w:hanging="440"/>
      </w:pPr>
      <w:rPr>
        <w:rFonts w:hint="eastAsia"/>
      </w:rPr>
    </w:lvl>
    <w:lvl w:ilvl="1" w:tentative="0">
      <w:start w:val="1"/>
      <w:numFmt w:val="lowerLetter"/>
      <w:lvlText w:val="%2)"/>
      <w:lvlJc w:val="left"/>
      <w:pPr>
        <w:ind w:left="1022" w:hanging="440"/>
      </w:pPr>
    </w:lvl>
    <w:lvl w:ilvl="2" w:tentative="0">
      <w:start w:val="1"/>
      <w:numFmt w:val="lowerRoman"/>
      <w:lvlText w:val="%3."/>
      <w:lvlJc w:val="right"/>
      <w:pPr>
        <w:ind w:left="1462" w:hanging="440"/>
      </w:pPr>
    </w:lvl>
    <w:lvl w:ilvl="3" w:tentative="0">
      <w:start w:val="1"/>
      <w:numFmt w:val="decimal"/>
      <w:lvlText w:val="%4."/>
      <w:lvlJc w:val="left"/>
      <w:pPr>
        <w:ind w:left="1902" w:hanging="440"/>
      </w:pPr>
    </w:lvl>
    <w:lvl w:ilvl="4" w:tentative="0">
      <w:start w:val="1"/>
      <w:numFmt w:val="lowerLetter"/>
      <w:lvlText w:val="%5)"/>
      <w:lvlJc w:val="left"/>
      <w:pPr>
        <w:ind w:left="2342" w:hanging="440"/>
      </w:pPr>
    </w:lvl>
    <w:lvl w:ilvl="5" w:tentative="0">
      <w:start w:val="1"/>
      <w:numFmt w:val="lowerRoman"/>
      <w:lvlText w:val="%6."/>
      <w:lvlJc w:val="right"/>
      <w:pPr>
        <w:ind w:left="2782" w:hanging="440"/>
      </w:pPr>
    </w:lvl>
    <w:lvl w:ilvl="6" w:tentative="0">
      <w:start w:val="1"/>
      <w:numFmt w:val="decimal"/>
      <w:lvlText w:val="%7."/>
      <w:lvlJc w:val="left"/>
      <w:pPr>
        <w:ind w:left="3222" w:hanging="440"/>
      </w:pPr>
    </w:lvl>
    <w:lvl w:ilvl="7" w:tentative="0">
      <w:start w:val="1"/>
      <w:numFmt w:val="lowerLetter"/>
      <w:lvlText w:val="%8)"/>
      <w:lvlJc w:val="left"/>
      <w:pPr>
        <w:ind w:left="3662" w:hanging="440"/>
      </w:pPr>
    </w:lvl>
    <w:lvl w:ilvl="8" w:tentative="0">
      <w:start w:val="1"/>
      <w:numFmt w:val="lowerRoman"/>
      <w:lvlText w:val="%9."/>
      <w:lvlJc w:val="right"/>
      <w:pPr>
        <w:ind w:left="4102" w:hanging="440"/>
      </w:pPr>
    </w:lvl>
  </w:abstractNum>
  <w:abstractNum w:abstractNumId="12">
    <w:nsid w:val="5DA054C0"/>
    <w:multiLevelType w:val="singleLevel"/>
    <w:tmpl w:val="5DA054C0"/>
    <w:lvl w:ilvl="0" w:tentative="0">
      <w:start w:val="1"/>
      <w:numFmt w:val="decimal"/>
      <w:suff w:val="nothing"/>
      <w:lvlText w:val="（%1）"/>
      <w:lvlJc w:val="left"/>
    </w:lvl>
  </w:abstractNum>
  <w:abstractNum w:abstractNumId="13">
    <w:nsid w:val="6B33D7FC"/>
    <w:multiLevelType w:val="singleLevel"/>
    <w:tmpl w:val="6B33D7FC"/>
    <w:lvl w:ilvl="0" w:tentative="0">
      <w:start w:val="1"/>
      <w:numFmt w:val="bullet"/>
      <w:lvlText w:val=""/>
      <w:lvlJc w:val="left"/>
      <w:pPr>
        <w:tabs>
          <w:tab w:val="left" w:pos="420"/>
        </w:tabs>
        <w:ind w:left="840" w:hanging="420"/>
      </w:pPr>
      <w:rPr>
        <w:rFonts w:hint="default" w:ascii="Wingdings" w:hAnsi="Wingdings"/>
      </w:rPr>
    </w:lvl>
  </w:abstractNum>
  <w:num w:numId="1">
    <w:abstractNumId w:val="5"/>
  </w:num>
  <w:num w:numId="2">
    <w:abstractNumId w:val="6"/>
  </w:num>
  <w:num w:numId="3">
    <w:abstractNumId w:val="11"/>
  </w:num>
  <w:num w:numId="4">
    <w:abstractNumId w:val="2"/>
  </w:num>
  <w:num w:numId="5">
    <w:abstractNumId w:val="9"/>
  </w:num>
  <w:num w:numId="6">
    <w:abstractNumId w:val="0"/>
  </w:num>
  <w:num w:numId="7">
    <w:abstractNumId w:val="8"/>
  </w:num>
  <w:num w:numId="8">
    <w:abstractNumId w:val="4"/>
  </w:num>
  <w:num w:numId="9">
    <w:abstractNumId w:val="3"/>
  </w:num>
  <w:num w:numId="10">
    <w:abstractNumId w:val="12"/>
  </w:num>
  <w:num w:numId="11">
    <w:abstractNumId w:val="1"/>
  </w:num>
  <w:num w:numId="12">
    <w:abstractNumId w:val="10"/>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5796"/>
    <w:rsid w:val="00B32474"/>
    <w:rsid w:val="025832D3"/>
    <w:rsid w:val="0E344BF5"/>
    <w:rsid w:val="0E3F636E"/>
    <w:rsid w:val="0F4A2AC1"/>
    <w:rsid w:val="12567277"/>
    <w:rsid w:val="13394A5B"/>
    <w:rsid w:val="13C95DDF"/>
    <w:rsid w:val="140E7C96"/>
    <w:rsid w:val="145E6E47"/>
    <w:rsid w:val="19BD63C9"/>
    <w:rsid w:val="1A6525DA"/>
    <w:rsid w:val="1AA50C28"/>
    <w:rsid w:val="1B7A3E63"/>
    <w:rsid w:val="21EC6BCB"/>
    <w:rsid w:val="26172987"/>
    <w:rsid w:val="2AC827F5"/>
    <w:rsid w:val="307F7AFA"/>
    <w:rsid w:val="35EA3F8D"/>
    <w:rsid w:val="3AC32CD9"/>
    <w:rsid w:val="3C744497"/>
    <w:rsid w:val="3F11495A"/>
    <w:rsid w:val="430420E0"/>
    <w:rsid w:val="48DF5182"/>
    <w:rsid w:val="49ED38CE"/>
    <w:rsid w:val="4BFA5566"/>
    <w:rsid w:val="4D9A5B1B"/>
    <w:rsid w:val="555F5A9C"/>
    <w:rsid w:val="561346BC"/>
    <w:rsid w:val="587D1525"/>
    <w:rsid w:val="59F20A8D"/>
    <w:rsid w:val="5B5E63DA"/>
    <w:rsid w:val="5BA30291"/>
    <w:rsid w:val="5C855BE8"/>
    <w:rsid w:val="5CDB6D3B"/>
    <w:rsid w:val="63224191"/>
    <w:rsid w:val="65364F3D"/>
    <w:rsid w:val="65FA31A3"/>
    <w:rsid w:val="6A8E035E"/>
    <w:rsid w:val="7073636F"/>
    <w:rsid w:val="720F43B1"/>
    <w:rsid w:val="78B91E75"/>
    <w:rsid w:val="7D834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pPr>
    <w:rPr>
      <w:rFonts w:ascii="Calibri" w:hAnsi="Calibri" w:eastAsia="宋体"/>
      <w:sz w:val="21"/>
    </w:rPr>
  </w:style>
  <w:style w:type="paragraph" w:styleId="4">
    <w:name w:val="Body Text"/>
    <w:basedOn w:val="1"/>
    <w:next w:val="5"/>
    <w:semiHidden/>
    <w:unhideWhenUsed/>
    <w:qFormat/>
    <w:uiPriority w:val="99"/>
    <w:pPr>
      <w:spacing w:after="120"/>
    </w:pPr>
  </w:style>
  <w:style w:type="paragraph" w:styleId="5">
    <w:name w:val="Title"/>
    <w:basedOn w:val="1"/>
    <w:next w:val="1"/>
    <w:qFormat/>
    <w:uiPriority w:val="0"/>
    <w:pPr>
      <w:widowControl/>
      <w:spacing w:line="560" w:lineRule="exact"/>
      <w:contextualSpacing/>
    </w:pPr>
    <w:rPr>
      <w:rFonts w:ascii="Inria Serif" w:hAnsi="Inria Serif" w:eastAsia="宋体" w:cs="Times New Roman (Headings CS)"/>
      <w:b/>
      <w:color w:val="0084AD"/>
      <w:spacing w:val="-10"/>
      <w:kern w:val="28"/>
      <w:sz w:val="50"/>
      <w:szCs w:val="56"/>
      <w:lang w:val="en-AU" w:eastAsia="en-US"/>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4"/>
    <w:qFormat/>
    <w:uiPriority w:val="0"/>
    <w:pPr>
      <w:spacing w:after="0" w:line="560" w:lineRule="exact"/>
      <w:ind w:firstLine="721" w:firstLineChars="200"/>
    </w:pPr>
    <w:rPr>
      <w:rFonts w:ascii="Calibri" w:hAnsi="Calibri"/>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qFormat/>
    <w:uiPriority w:val="0"/>
    <w:pPr>
      <w:widowControl w:val="0"/>
      <w:autoSpaceDE w:val="0"/>
      <w:autoSpaceDN w:val="0"/>
      <w:adjustRightInd w:val="0"/>
    </w:pPr>
    <w:rPr>
      <w:rFonts w:ascii="Arial" w:hAnsi="Arial" w:cs="Arial" w:eastAsiaTheme="minorEastAsia"/>
      <w:color w:val="000000"/>
      <w:sz w:val="24"/>
      <w:szCs w:val="24"/>
      <w:lang w:val="en-US" w:eastAsia="zh-CN" w:bidi="ar-SA"/>
    </w:rPr>
  </w:style>
  <w:style w:type="paragraph" w:styleId="16">
    <w:name w:val="List Paragraph"/>
    <w:basedOn w:val="1"/>
    <w:qFormat/>
    <w:uiPriority w:val="34"/>
    <w:pPr>
      <w:ind w:firstLine="420" w:firstLineChars="200"/>
    </w:pPr>
  </w:style>
  <w:style w:type="paragraph" w:customStyle="1" w:styleId="17">
    <w:name w:val="Editable table text"/>
    <w:basedOn w:val="1"/>
    <w:qFormat/>
    <w:uiPriority w:val="0"/>
    <w:pPr>
      <w:widowControl/>
    </w:pPr>
    <w:rPr>
      <w:rFonts w:ascii="Frutiger LT Com 45 Light" w:hAnsi="Frutiger LT Com 45 Light" w:eastAsia="宋体"/>
      <w:color w:val="62B5E5"/>
      <w:kern w:val="0"/>
      <w:sz w:val="20"/>
      <w:lang w:val="en-GB" w:eastAsia="en-US"/>
    </w:rPr>
  </w:style>
  <w:style w:type="paragraph" w:customStyle="1" w:styleId="18">
    <w:name w:val="Table Bullet"/>
    <w:basedOn w:val="1"/>
    <w:qFormat/>
    <w:uiPriority w:val="0"/>
    <w:pPr>
      <w:widowControl/>
      <w:numPr>
        <w:ilvl w:val="0"/>
        <w:numId w:val="2"/>
      </w:numPr>
      <w:spacing w:after="120"/>
      <w:ind w:left="284" w:hanging="284"/>
      <w:contextualSpacing/>
    </w:pPr>
    <w:rPr>
      <w:rFonts w:ascii="Frutiger LT Com 45 Light" w:hAnsi="Frutiger LT Com 45 Light" w:eastAsia="宋体"/>
      <w:kern w:val="0"/>
      <w:sz w:val="20"/>
      <w:szCs w:val="22"/>
      <w:lang w:val="en-GB" w:eastAsia="en-US"/>
    </w:rPr>
  </w:style>
  <w:style w:type="character" w:customStyle="1" w:styleId="19">
    <w:name w:val="Editable"/>
    <w:qFormat/>
    <w:uiPriority w:val="0"/>
    <w:rPr>
      <w:rFonts w:hint="default" w:ascii="Times New Roman" w:hAnsi="Times New Roman" w:eastAsia="宋体" w:cs="Times New Roman"/>
      <w:color w:val="62B5E5"/>
    </w:rPr>
  </w:style>
  <w:style w:type="paragraph" w:customStyle="1" w:styleId="20">
    <w:name w:val="页脚1"/>
    <w:basedOn w:val="1"/>
    <w:qFormat/>
    <w:uiPriority w:val="0"/>
    <w:pPr>
      <w:tabs>
        <w:tab w:val="center" w:pos="4153"/>
        <w:tab w:val="right" w:pos="8306"/>
      </w:tabs>
      <w:snapToGrid w:val="0"/>
      <w:jc w:val="left"/>
    </w:pPr>
    <w:rPr>
      <w:rFonts w:ascii="Calibri" w:hAnsi="Calibri" w:eastAsia="宋体"/>
      <w:sz w:val="18"/>
      <w:szCs w:val="18"/>
    </w:rPr>
  </w:style>
  <w:style w:type="paragraph" w:customStyle="1" w:styleId="21">
    <w:name w:val="表格"/>
    <w:basedOn w:val="1"/>
    <w:qFormat/>
    <w:uiPriority w:val="0"/>
    <w:pPr>
      <w:spacing w:line="500" w:lineRule="exact"/>
    </w:pPr>
    <w:rPr>
      <w:rFonts w:hint="eastAsia" w:ascii="仿宋_GB2312" w:hAnsi="Calibri" w:cs="Times New Roman"/>
      <w:bCs/>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4366</Words>
  <Characters>4519</Characters>
  <Lines>0</Lines>
  <Paragraphs>0</Paragraphs>
  <TotalTime>7</TotalTime>
  <ScaleCrop>false</ScaleCrop>
  <LinksUpToDate>false</LinksUpToDate>
  <CharactersWithSpaces>4576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2025-05-26T04:19:00Z</dcterms:created>
  <dc:creator>TRINGAI</dc:creator>
  <cp:lastModifiedBy>人工智能训练师-黄文军</cp:lastModifiedBy>
  <cp:lastPrinted>2025-06-04T01:15:15Z</cp:lastPrinted>
  <dcterms:modified xsi:type="dcterms:W3CDTF">2025-06-04T01:33:18Z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eyJoZGlkIjoiYjlkZDYzZDc2Nzk4MDUzZDQ2NTNmZDlmOTAyNDQ2MDciLCJ1c2VySWQiOiI0NzI0NzI5MjcifQ==</vt:lpwstr>
  </property>
  <property fmtid="{D5CDD505-2E9C-101B-9397-08002B2CF9AE}" pid="4" name="ICV">
    <vt:lpwstr>FA41C8E2FC46454985360F6763644BA5_13</vt:lpwstr>
  </property>
</Properties>
</file>