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after="0"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东莞市科技企业加速器申报要求</w:t>
      </w:r>
    </w:p>
    <w:p>
      <w:pPr>
        <w:spacing w:after="0" w:line="580" w:lineRule="exact"/>
        <w:ind w:firstLine="880" w:firstLineChars="200"/>
        <w:rPr>
          <w:rFonts w:ascii="Times New Roman" w:hAnsi="Times New Roman" w:eastAsia="方正小标宋简体"/>
          <w:sz w:val="44"/>
          <w:szCs w:val="44"/>
        </w:rPr>
      </w:pP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申请认定为市级加速器的单位必须符合以下“八有”条件：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有主体资格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应为东莞市内注册的独立法人，实际注册运营时间满1年，已进行登记备案。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有加速场地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拥有可支配场地面积在20000平方米以上（属租赁场地的，应保证自申请之日起5年以上有效租期），其中用于加速企业使用的场地不少于总面积的60%。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有投资案例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配备自有或合作设立支撑产业发展的加速孵化资金，资金规模不低于500万元人民币；至少有1家加速企业获得投融资。投融资包括天使投资、风险投资、银行贷款、股票筹资、债券融资、融资租赁等多种形式。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ascii="黑体" w:hAnsi="黑体" w:eastAsia="黑体" w:cs="黑体"/>
          <w:sz w:val="32"/>
          <w:szCs w:val="32"/>
        </w:rPr>
        <w:t>有管理团队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配有专职的经营管理团队，其中专业孵化服务人员占机构总人数的60%以上。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ascii="黑体" w:hAnsi="黑体" w:eastAsia="黑体" w:cs="黑体"/>
          <w:sz w:val="32"/>
          <w:szCs w:val="32"/>
        </w:rPr>
        <w:t>有服务平台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产业服务功能完善，能够为高成长科技企业提供发展空间和公共服务平台、公共技术平台、投融资平台等深层次专业化服务，签约科技服务机构不低于5家。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有知识产权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加速企业中拥有有效知识产权的企业占加速企业总数比例不低于50%。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有加速企业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入驻的加速企业数量不少于5家，在同一产业领域从事研发、生产的加速企业占加速企业总数的40%以上。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有加速机制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建立高成长科技企业（加速企业）的准入和淘汰管理机制，探索科技企业孵化载体孵化链条对接机制，优选加速企业入驻。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加速器应建立企业准入机制，优选加速企业入驻，入驻企业注册地和主要研发、办公场所须在本孵化载体场地内，主要产品（服务）应属于国家重点支持高新技术领域范围。加速企业应具备以下条件中的至少两条：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（一）入驻场地面积在500平方米以上。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（二）连续两年营业收入累计达到600万元以上。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（三）近三年营业收入增长率达到10%或利润增长率达到5%。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（四）上年度研究开发费用总额占同期销售收入总额的比例不低于3%。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（五）拥有至少1项有效Ⅰ类知识产权。</w:t>
      </w:r>
    </w:p>
    <w:p>
      <w:pPr>
        <w:spacing w:after="0"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（六）累计获得天使投资或风险投资超过100万元。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加速器建立企业定向退出机制，对成长较快、加速器空间不能满足其发展需求的入驻企业，加速器运营管理机构负责协助其进入专业园区或产业基地；对科技含量较低、成长性较差的企业，取消入驻资格，引导其离开加速器。</w:t>
      </w:r>
    </w:p>
    <w:p>
      <w:pPr>
        <w:spacing w:after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Hlk204763204"/>
      <w:r>
        <w:rPr>
          <w:rFonts w:hint="eastAsia" w:ascii="黑体" w:hAnsi="黑体" w:eastAsia="黑体" w:cs="黑体"/>
          <w:sz w:val="32"/>
          <w:szCs w:val="32"/>
        </w:rPr>
        <w:t>九、专业化、港澳台方向建设（符合条件可申报、非单一认定必要条件）</w:t>
      </w:r>
      <w:bookmarkEnd w:id="0"/>
    </w:p>
    <w:p>
      <w:pPr>
        <w:spacing w:after="0"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加速器还具备面向国外、港澳台创业团队和科技成果转化的专业孵化服务能力；与国外及港澳台的大学、科研机构、商会、协会或企业等机构建立良好的合作关系；已申请知识产权的国外、港澳台在孵企业（团队）总数不少于5个；获得投融资的国外、港澳台在孵企业（团队）数量不少于1个；举办面向国外、港澳台创新创业人员的交流活动一年不少于2场次等条件的可按照国际化、港澳台科技企业加速器进行认定管理。国外、港澳台在孵企业（团队）的股东、实际控制人或带头人须为国外、港澳台创业者。</w:t>
      </w:r>
    </w:p>
    <w:p>
      <w:pPr>
        <w:spacing w:after="0" w:line="580" w:lineRule="exact"/>
        <w:ind w:firstLine="420" w:firstLineChars="200"/>
        <w:rPr>
          <w:rFonts w:ascii="Times New Roman" w:hAnsi="Times New Roman"/>
        </w:rPr>
      </w:pPr>
    </w:p>
    <w:sectPr>
      <w:headerReference r:id="rId5" w:type="default"/>
      <w:footerReference r:id="rId6" w:type="default"/>
      <w:pgSz w:w="11906" w:h="16838"/>
      <w:pgMar w:top="2098" w:right="1304" w:bottom="1304" w:left="1304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GxwK79AEAAMADAAAOAAAAZHJz&#10;L2Uyb0RvYy54bWytU82O0zAQviPxDpbvNG35W6Kmq2VXRUjLj7TwAFPHaSwSjzV2m5QHgDfYExfu&#10;PFefg7HTlAI3xMUaz4y/+eab8eKybxux0+QN2kLOJlMptFVYGrsp5McPq0cXUvgAtoQGrS7kXnt5&#10;uXz4YNG5XM+xxqbUJBjE+rxzhaxDcHmWeVXrFvwEnbYcrJBaCHylTVYSdIzeNtl8On2WdUilI1Ta&#10;e/beDEG5TPhVpVV4V1VeB9EUkrmFdFI61/HMlgvINwSuNupIA/6BRQvGctET1A0EEFsyf0G1RhF6&#10;rMJEYZthVRmlUw/czWz6Rzd3NTidemFxvDvJ5P8frHq7e0/ClDw7KSy0PKLD/dfDtx+H71/ELMrT&#10;OZ9z1p3jvNC/xL6QgbaRFuTe3aL65IXF6xrsRl8RYVdrKJlhSuL32RnAgOYj1Lp7gyVXg23AhNVX&#10;1EZM1kRwDR7W/jQg3Qeh2Pn04smcA4ojs8cvnk/T/DLIx7eOfHilsRXRKCTx+BM27G59iFwgH1Ni&#10;KYsr0zRpBRr7m4MToydxj3QH4qFf90dF1ljuuQvCYaP4B7BRI32WouNtKqTldZeieW1Zirh4o0Gj&#10;sR4NsIofsmBSDOZ14FsFjWeArSOzqRn7TPMrlmxlUj9R24HKkSyvSWrzuNJxD8/vKevXx1v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tbuXfQAAAAAgEAAA8AAAAAAAAAAQAgAAAAOAAAAGRycy9k&#10;b3ducmV2LnhtbFBLAQIUABQAAAAIAIdO4kDGxwK79AEAAMADAAAOAAAAAAAAAAEAIAAAADU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0"/>
    <w:rsid w:val="00033691"/>
    <w:rsid w:val="00293450"/>
    <w:rsid w:val="003218D7"/>
    <w:rsid w:val="003704DF"/>
    <w:rsid w:val="003744C9"/>
    <w:rsid w:val="00404D4B"/>
    <w:rsid w:val="00482A36"/>
    <w:rsid w:val="00500EBA"/>
    <w:rsid w:val="00501F47"/>
    <w:rsid w:val="00582887"/>
    <w:rsid w:val="005D2153"/>
    <w:rsid w:val="00605B52"/>
    <w:rsid w:val="006F53E2"/>
    <w:rsid w:val="008111A5"/>
    <w:rsid w:val="008B0CEC"/>
    <w:rsid w:val="008E35B5"/>
    <w:rsid w:val="008E678F"/>
    <w:rsid w:val="0092596D"/>
    <w:rsid w:val="00A8647C"/>
    <w:rsid w:val="00A96389"/>
    <w:rsid w:val="00B5307B"/>
    <w:rsid w:val="00C44432"/>
    <w:rsid w:val="00C53F50"/>
    <w:rsid w:val="00C91BD2"/>
    <w:rsid w:val="00CB685E"/>
    <w:rsid w:val="00DA4661"/>
    <w:rsid w:val="00F052E4"/>
    <w:rsid w:val="00F44213"/>
    <w:rsid w:val="00F608D8"/>
    <w:rsid w:val="00F63090"/>
    <w:rsid w:val="03F56108"/>
    <w:rsid w:val="0C026E30"/>
    <w:rsid w:val="0FFF27E7"/>
    <w:rsid w:val="24615338"/>
    <w:rsid w:val="27942898"/>
    <w:rsid w:val="2F356E6F"/>
    <w:rsid w:val="36320B71"/>
    <w:rsid w:val="3B69459D"/>
    <w:rsid w:val="41A81A17"/>
    <w:rsid w:val="44290CEB"/>
    <w:rsid w:val="49D85DCF"/>
    <w:rsid w:val="55D6265F"/>
    <w:rsid w:val="5C32550B"/>
    <w:rsid w:val="611563A2"/>
    <w:rsid w:val="65B02C7A"/>
    <w:rsid w:val="69FE7679"/>
    <w:rsid w:val="6D670979"/>
    <w:rsid w:val="6EEB4623"/>
    <w:rsid w:val="756F5998"/>
    <w:rsid w:val="78AF5750"/>
    <w:rsid w:val="7A8B6BA9"/>
    <w:rsid w:val="7FBF44A2"/>
    <w:rsid w:val="92CA344F"/>
    <w:rsid w:val="B3FD3A48"/>
    <w:rsid w:val="BEB3A151"/>
    <w:rsid w:val="BFBB3CB4"/>
    <w:rsid w:val="CFBDAD0B"/>
    <w:rsid w:val="DF39CC3E"/>
    <w:rsid w:val="DF5FFEFC"/>
    <w:rsid w:val="DFBFE7F2"/>
    <w:rsid w:val="F9F4A824"/>
    <w:rsid w:val="FBFF7103"/>
    <w:rsid w:val="FD0E6D3E"/>
    <w:rsid w:val="FE779994"/>
    <w:rsid w:val="FEFF3257"/>
    <w:rsid w:val="FF7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576</Words>
  <Characters>588</Characters>
  <Lines>28</Lines>
  <Paragraphs>22</Paragraphs>
  <TotalTime>11</TotalTime>
  <ScaleCrop>false</ScaleCrop>
  <LinksUpToDate>false</LinksUpToDate>
  <CharactersWithSpaces>1142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2022-03-04T06:37:00Z</dcterms:created>
  <dc:creator>吴燕婷</dc:creator>
  <cp:lastModifiedBy>uos</cp:lastModifiedBy>
  <cp:lastPrinted>2025-08-28T08:48:36Z</cp:lastPrinted>
  <dcterms:modified xsi:type="dcterms:W3CDTF">2025-08-28T13:47:40Z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0DA2EF4F6FAD46249135634C9EB629ED</vt:lpwstr>
  </property>
</Properties>
</file>