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黑体" w:eastAsia="黑体" w:cs="Times New Roman"/>
          <w:sz w:val="32"/>
          <w:szCs w:val="32"/>
        </w:rPr>
        <w:t>附件</w:t>
      </w:r>
    </w:p>
    <w:p>
      <w:pPr>
        <w:jc w:val="center"/>
        <w:rPr>
          <w:rFonts w:ascii="方正小标宋简体" w:eastAsia="方正小标宋简体"/>
          <w:sz w:val="44"/>
          <w:szCs w:val="44"/>
        </w:rPr>
      </w:pPr>
      <w:r>
        <w:rPr>
          <w:rFonts w:hint="eastAsia" w:ascii="方正小标宋简体" w:eastAsia="方正小标宋简体"/>
          <w:sz w:val="44"/>
          <w:szCs w:val="44"/>
        </w:rPr>
        <w:t>2021年东莞市科技特派员项目拟立项及资助经费安排表</w:t>
      </w:r>
    </w:p>
    <w:tbl>
      <w:tblPr>
        <w:tblStyle w:val="5"/>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969"/>
        <w:gridCol w:w="2835"/>
        <w:gridCol w:w="2268"/>
        <w:gridCol w:w="2835"/>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序</w:t>
            </w:r>
          </w:p>
        </w:tc>
        <w:tc>
          <w:tcPr>
            <w:tcW w:w="3969" w:type="dxa"/>
            <w:noWrap/>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项目名称</w:t>
            </w:r>
          </w:p>
        </w:tc>
        <w:tc>
          <w:tcPr>
            <w:tcW w:w="2835" w:type="dxa"/>
            <w:noWrap/>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项目组成员</w:t>
            </w:r>
          </w:p>
        </w:tc>
        <w:tc>
          <w:tcPr>
            <w:tcW w:w="2268" w:type="dxa"/>
            <w:noWrap/>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派出单位</w:t>
            </w:r>
          </w:p>
        </w:tc>
        <w:tc>
          <w:tcPr>
            <w:tcW w:w="2835" w:type="dxa"/>
            <w:noWrap/>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派驻单位</w:t>
            </w:r>
          </w:p>
        </w:tc>
        <w:tc>
          <w:tcPr>
            <w:tcW w:w="992" w:type="dxa"/>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拟资助经费</w:t>
            </w:r>
          </w:p>
        </w:tc>
        <w:tc>
          <w:tcPr>
            <w:tcW w:w="1418" w:type="dxa"/>
            <w:noWrap/>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96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东莞市茶山镇增埗村村民主观认知下降的流行病学研究</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刘勇林，李婉仪，成蔚阳</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东莞市茶山镇增埗村村民委员会</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高性能覆铜板用高导热无机填料的开发</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陈德良，檀付瑞</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广东生益科技股份有限公司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新一代智能高速精密喷射点胶系统关键技术研究及产业化</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任斌，王福杰，赖树明，刘慧杰</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东莞市凯格精机股份有限公司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969" w:type="dxa"/>
            <w:vAlign w:val="center"/>
          </w:tcPr>
          <w:p>
            <w:pPr>
              <w:widowControl/>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东莞市社区心血管危险因素队列研究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苏少辉，李志聪，姚晓华，万槐斌，叶嘉华，徐丽梅</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东莞市石碣镇唐洪村村民委员会</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个性化定制家具成套装备与智能制造系统</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尹玲，汪超</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南兴装备股份有限公司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基于中医体质辨识探讨中医调养对社区糖尿病前期人群的影响</w:t>
            </w:r>
          </w:p>
        </w:tc>
        <w:tc>
          <w:tcPr>
            <w:tcW w:w="2835" w:type="dxa"/>
            <w:vAlign w:val="center"/>
          </w:tcPr>
          <w:p>
            <w:pPr>
              <w:widowControl/>
              <w:rPr>
                <w:rFonts w:ascii="Times New Roman" w:hAnsi="Times New Roman" w:eastAsia="仿宋_GB2312" w:cs="Times New Roman"/>
                <w:color w:val="000000"/>
                <w:kern w:val="0"/>
                <w:sz w:val="24"/>
                <w:szCs w:val="24"/>
              </w:rPr>
            </w:pPr>
            <w:r>
              <w:rPr>
                <w:rFonts w:hint="eastAsia" w:ascii="仿宋_GB2312" w:hAnsi="Arial" w:eastAsia="仿宋_GB2312" w:cs="Arial"/>
                <w:kern w:val="0"/>
                <w:sz w:val="24"/>
                <w:szCs w:val="24"/>
              </w:rPr>
              <w:t>吴萍，廖漫，钱丽敏，王文辉，吴月惠</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东莞市中医院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东莞市麻涌镇社区卫生服务中心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生物质基化学品快速分析/分离方法库的建立及应用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康世民，刘丹，徐佳琳</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广东联捷生物科技有限公司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可降解聚乳酸的增韧改性研究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雷芳，王波群</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广东技塑新材料股份有限公司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乡村振兴战略下圣茵园农产品“朱顶红”品牌形象设计及推广研究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李鸿明，张红华，刘丽萍，潘婷婷，柳翰</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广东圣茵花卉园艺有限公司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龙昌博思教育机器人系列产品核心技术研发</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丁文霞，沈博</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东莞龙昌数码科技有限公司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东莞地区中老年人群骨质疏松症的社区筛查和脆性骨折居家预防</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黎松波，黎建文，刘志伟，方冠军，陈耀鑫，卢健锋，叶国标</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东莞市大岭山镇矮岭</w:t>
            </w:r>
            <w:r>
              <w:rPr>
                <w:rFonts w:ascii="Times New Roman" w:hAnsi="Times New Roman" w:eastAsia="宋体" w:cs="Times New Roman"/>
                <w:color w:val="000000"/>
                <w:kern w:val="0"/>
                <w:sz w:val="24"/>
                <w:szCs w:val="24"/>
              </w:rPr>
              <w:t>冚</w:t>
            </w:r>
            <w:r>
              <w:rPr>
                <w:rFonts w:ascii="Times New Roman" w:hAnsi="Times New Roman" w:eastAsia="仿宋_GB2312" w:cs="Times New Roman"/>
                <w:color w:val="000000"/>
                <w:kern w:val="0"/>
                <w:sz w:val="24"/>
                <w:szCs w:val="24"/>
              </w:rPr>
              <w:t>村村民委员会</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桥头百禾花卉专业合作社简易园艺设施条件下花卉生产关键技术研究与应用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谭聪丽，袁韵珏</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东莞市桥头百禾花卉专业合作社</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基于高精度北斗定位车联网终端系统研究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郭剑岚，陈俞强</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东莞市艺展电子有限公司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14</w:t>
            </w:r>
          </w:p>
        </w:tc>
        <w:tc>
          <w:tcPr>
            <w:tcW w:w="3969" w:type="dxa"/>
            <w:vAlign w:val="center"/>
          </w:tcPr>
          <w:p>
            <w:pPr>
              <w:widowControl/>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抗性淀粉产业化和应用关键技术研究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陈旭，刘宇佳</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东莞东美食品有限公司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基于语义物联网事务模型的第三方物流信息建模</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曲超，胡天明，卢安，洪小宇</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东莞华贝电子科技有限公司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16</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基于电子印制标识的共形天线设计及制备工艺开发</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王帅，楚豫川</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东莞市沃顿印刷有限公司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17</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智能柔性产线的研究与开发</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丁度坤，徐治根，吴丽莉</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广东汇兴精工智造股份有限公司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废弃农用地膜资源化利用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杨树颜，钟赤锋</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东莞市正新包装制品有限公司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综合消肿法在社区康复中治疗妇科肿瘤下肢淋巴水肿的应用研究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张雪芳，孙彦秋，谢碧欣，何嘉敏，杨素雯，赖小玲，陈嘉洛，何洁芳，梁栩维</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东莞市东城社区卫生服务中心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引线框架用高强高导合金的开发及其加工工艺</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谢春晓，李文</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东莞市中一合金科技有限公司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具有混联结构的五自由度机床机构分析与设计</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卢文娟，张斐</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东莞台一盈拓科技股份有限公司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22</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胃肠道疾病超声筛查在社区的应用价值</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李育婵，蒋双兰，余凤</w:t>
            </w:r>
          </w:p>
        </w:tc>
        <w:tc>
          <w:tcPr>
            <w:tcW w:w="2268" w:type="dxa"/>
            <w:vAlign w:val="center"/>
          </w:tcPr>
          <w:p>
            <w:pPr>
              <w:widowControl/>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东莞市第八人民医院（东莞市儿童医院）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东莞市石排镇社区卫生服务中心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23</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基于深度学习的电容器外观缺陷在线检测系统</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黄晓园，谭艳珍，吴熙</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东莞东阳光科研发有限公司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24</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超薄高剥离聚丙烯酸酯压敏胶产品的开发与应用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吴文剑，张晓凡</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东莞市古川胶带有限公司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提升社区人群对前列腺疾病防治的认识、普及前列腺增生及前列腺癌早期筛查</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罗杰鑫，莫汝均</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东莞市高</w:t>
            </w:r>
            <w:r>
              <w:rPr>
                <w:rFonts w:ascii="Times New Roman" w:hAnsi="Times New Roman" w:eastAsia="宋体" w:cs="Times New Roman"/>
                <w:color w:val="000000"/>
                <w:kern w:val="0"/>
                <w:sz w:val="24"/>
                <w:szCs w:val="24"/>
              </w:rPr>
              <w:t>埗</w:t>
            </w:r>
            <w:r>
              <w:rPr>
                <w:rFonts w:ascii="Times New Roman" w:hAnsi="Times New Roman" w:eastAsia="仿宋_GB2312" w:cs="Times New Roman"/>
                <w:color w:val="000000"/>
                <w:kern w:val="0"/>
                <w:sz w:val="24"/>
                <w:szCs w:val="24"/>
              </w:rPr>
              <w:t>镇社区卫生服务中心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鲜切果蔬保鲜包装技术研究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张峻岭，龚修端，唐玉</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广东天元实业集团股份有限公司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27</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塑胶模具关键零件的高质量激光修复与强化</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李胜，韩立发</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东莞市广正模具塑胶有限公司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28</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方型锂离子动力电池热特性试验与仿真分析</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金标，王延宁，安治文，王英舜，费强</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广东科技学院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东莞塔菲尔新能源科技有限公司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29</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东莞市南城区雅园社区人居环境提升改造设计</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张惠贻，陈芳，孙强</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东莞市南城街道雅园股份经济联合社</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基于3D打印的骨科复杂康复辅具数字化设计与智能制造研究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尚欣，张晶</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东莞东华医院有限公司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31</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胶原蛋白连续离心关键技术</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彭新生，李宝红，赵金武</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广东医科大学</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广东红珊瑚药业有限公司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32</w:t>
            </w:r>
          </w:p>
        </w:tc>
        <w:tc>
          <w:tcPr>
            <w:tcW w:w="3969" w:type="dxa"/>
            <w:vAlign w:val="center"/>
          </w:tcPr>
          <w:p>
            <w:pPr>
              <w:widowControl/>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汽车变压器产品生产过程自动化改造</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李洪超，陈振伟</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东莞理工学院城市学院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东莞普思电子有限公司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33</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节能变压器产品的生产工艺优化</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张燕琴，于剑锋，柴草</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spacing w:val="-16"/>
                <w:kern w:val="0"/>
                <w:sz w:val="24"/>
                <w:szCs w:val="24"/>
              </w:rPr>
            </w:pPr>
            <w:r>
              <w:rPr>
                <w:rFonts w:ascii="Times New Roman" w:hAnsi="Times New Roman" w:eastAsia="仿宋_GB2312" w:cs="Times New Roman"/>
                <w:color w:val="000000"/>
                <w:spacing w:val="-20"/>
                <w:kern w:val="0"/>
                <w:sz w:val="24"/>
                <w:szCs w:val="24"/>
              </w:rPr>
              <w:t>广东康德威电气股</w:t>
            </w:r>
            <w:bookmarkStart w:id="0" w:name="_GoBack"/>
            <w:bookmarkEnd w:id="0"/>
            <w:r>
              <w:rPr>
                <w:rFonts w:ascii="Times New Roman" w:hAnsi="Times New Roman" w:eastAsia="仿宋_GB2312" w:cs="Times New Roman"/>
                <w:color w:val="000000"/>
                <w:spacing w:val="-20"/>
                <w:kern w:val="0"/>
                <w:sz w:val="24"/>
                <w:szCs w:val="24"/>
              </w:rPr>
              <w:t>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34</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汽车用高强钢构件冲压成形机理及模具结构拓扑优化策略研究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张玉勋，申芳华</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东莞市中泰模具股份有限公司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35</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锂离子电池用NCM811正极材料循环稳定性提升策略研究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高峰，谢冠群</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东莞市安德丰电池有限公司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36</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莞香特色的沉香结香微生物菌种库建立及微生物通体结香技术的应用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王云，徐晓飞</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华南协同创新研究院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东莞市国林沉香种植专业合作社</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37</w:t>
            </w:r>
          </w:p>
        </w:tc>
        <w:tc>
          <w:tcPr>
            <w:tcW w:w="3969" w:type="dxa"/>
            <w:vAlign w:val="center"/>
          </w:tcPr>
          <w:p>
            <w:pPr>
              <w:widowControl/>
              <w:rPr>
                <w:rFonts w:ascii="Times New Roman" w:hAnsi="Times New Roman" w:eastAsia="仿宋_GB2312" w:cs="Times New Roman"/>
                <w:color w:val="000000"/>
                <w:spacing w:val="-10"/>
                <w:kern w:val="0"/>
                <w:sz w:val="24"/>
                <w:szCs w:val="24"/>
              </w:rPr>
            </w:pPr>
            <w:r>
              <w:rPr>
                <w:rFonts w:ascii="Times New Roman" w:hAnsi="Times New Roman" w:eastAsia="仿宋_GB2312" w:cs="Times New Roman"/>
                <w:color w:val="000000"/>
                <w:spacing w:val="-10"/>
                <w:kern w:val="0"/>
                <w:sz w:val="24"/>
                <w:szCs w:val="24"/>
              </w:rPr>
              <w:t>环境友好型印刷包装材料的开发及应用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李娜，邓海静，钟祯</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东莞金杯印刷有限公司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38</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提高社区糖尿病人群眼病筛</w:t>
            </w:r>
            <w:r>
              <w:rPr>
                <w:rFonts w:ascii="Times New Roman" w:hAnsi="Times New Roman" w:eastAsia="仿宋_GB2312" w:cs="Times New Roman"/>
                <w:color w:val="000000" w:themeColor="text1"/>
                <w:kern w:val="0"/>
                <w:sz w:val="24"/>
                <w:szCs w:val="24"/>
              </w:rPr>
              <w:t>查率</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kern w:val="0"/>
                <w:sz w:val="24"/>
                <w:szCs w:val="24"/>
              </w:rPr>
              <w:t>降低致盲风险</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冼倩红，陈淑惠，梁慧玲，陈敏瑜，陈凤玲，黄雪雯</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东莞市望牛墩镇朱平沙村村民委员会</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39</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蓄光型自发光新材料在乡村文化建设中的应用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林燕，金日龙，史春虎，张淑萍</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广东科技学院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东莞市石排镇福隆股份经济联合社</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中西医结合干预对小儿营养不良的阶梯式系统化管理研究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岳乾军，詹文，赵俐，张双好</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东莞市妇幼保健院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东莞市中堂镇社区卫生服务中心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41</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基于微细通道同向双螺杆挤出机节能改造</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肖健，田乐园，李建辉</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东莞理工学院城市学院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广东国立科技股份有限公司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42</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观叶花卉组培苗苗期栽培技术研究与应用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王燕，赖永超，张广燕，王燕君</w:t>
            </w:r>
          </w:p>
        </w:tc>
        <w:tc>
          <w:tcPr>
            <w:tcW w:w="2268" w:type="dxa"/>
            <w:vAlign w:val="center"/>
          </w:tcPr>
          <w:p>
            <w:pPr>
              <w:widowControl/>
              <w:rPr>
                <w:rFonts w:ascii="Times New Roman" w:hAnsi="Times New Roman" w:eastAsia="仿宋_GB2312" w:cs="Times New Roman"/>
                <w:color w:val="000000"/>
                <w:spacing w:val="-10"/>
                <w:kern w:val="0"/>
                <w:sz w:val="24"/>
                <w:szCs w:val="24"/>
              </w:rPr>
            </w:pPr>
            <w:r>
              <w:rPr>
                <w:rFonts w:ascii="Times New Roman" w:hAnsi="Times New Roman" w:eastAsia="仿宋_GB2312" w:cs="Times New Roman"/>
                <w:color w:val="000000"/>
                <w:spacing w:val="-10"/>
                <w:kern w:val="0"/>
                <w:sz w:val="24"/>
                <w:szCs w:val="24"/>
              </w:rPr>
              <w:t>东莞市农业科学研究中心</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东莞市农星生物工程有限公司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43</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海洋来源临床前期HPV E6/E7抑制剂的筛选</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刘林华，刘红菊</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广东医科大学</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广东东阳光药业有限公司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社区安宁疗护在终末期癌症患者中的应用研究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王晓秋，苏小敏，陈锦英，贾筠，叶婉玲，陈镜塘，何妙珠，廖景升，刘巧仪</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东莞市大朗镇社区卫生服务中心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45</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新型锂电池叠片用粘结剂的制备</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张东东，郑轲</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广东亿鑫丰智能装备股份有限公司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46</w:t>
            </w:r>
          </w:p>
        </w:tc>
        <w:tc>
          <w:tcPr>
            <w:tcW w:w="396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热处理技术对VSM1068微型步进电机外壳磁性能影响的研究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罗彦琦，邓俊彦，刘文洁</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东莞理工学院城市学院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东莞市维斗科技股份有限公司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47</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高性能硬质合金刀具研发项目</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王珂玮，陈磊</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东莞富兰地工具股份有限公司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48</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工业互联网虚实结合平台的研究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唐先军，唐方红，谢志伟</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广东高臻智能装备有限公司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49</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数字化驱动的草龙舞道具制作和表演技艺保护研究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李钰田，张白露，徐伟斌</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spacing w:val="-10"/>
                <w:kern w:val="0"/>
                <w:sz w:val="24"/>
                <w:szCs w:val="24"/>
              </w:rPr>
            </w:pPr>
            <w:r>
              <w:rPr>
                <w:rFonts w:ascii="Times New Roman" w:hAnsi="Times New Roman" w:eastAsia="仿宋_GB2312" w:cs="Times New Roman"/>
                <w:color w:val="000000"/>
                <w:spacing w:val="-10"/>
                <w:kern w:val="0"/>
                <w:sz w:val="24"/>
                <w:szCs w:val="24"/>
              </w:rPr>
              <w:t>东莞市横沥镇田饶步村村民委员会</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智能化技术在电池PACK产品测试验证中的应用研究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李小燕，谭汉洪，王华荣，付琴，杨立波</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广东科技学院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东莞新能德科技有限公司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bl>
    <w:p>
      <w:pPr>
        <w:jc w:val="center"/>
        <w:rPr>
          <w:rFonts w:ascii="方正小标宋简体" w:eastAsia="方正小标宋简体"/>
          <w:sz w:val="24"/>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康简仿宋">
    <w:panose1 w:val="02020409010101010101"/>
    <w:charset w:val="86"/>
    <w:family w:val="auto"/>
    <w:pitch w:val="default"/>
    <w:sig w:usb0="00000001" w:usb1="08010000" w:usb2="0000001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45950"/>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609E"/>
    <w:rsid w:val="00024606"/>
    <w:rsid w:val="000504FA"/>
    <w:rsid w:val="0019257A"/>
    <w:rsid w:val="002A708A"/>
    <w:rsid w:val="002C270D"/>
    <w:rsid w:val="00310067"/>
    <w:rsid w:val="00352186"/>
    <w:rsid w:val="003E3308"/>
    <w:rsid w:val="003F155F"/>
    <w:rsid w:val="004D6A8D"/>
    <w:rsid w:val="005610AC"/>
    <w:rsid w:val="005834EE"/>
    <w:rsid w:val="006438D7"/>
    <w:rsid w:val="006F360C"/>
    <w:rsid w:val="00703293"/>
    <w:rsid w:val="00716734"/>
    <w:rsid w:val="0078579A"/>
    <w:rsid w:val="007D26E7"/>
    <w:rsid w:val="007D35FA"/>
    <w:rsid w:val="0084311E"/>
    <w:rsid w:val="00864948"/>
    <w:rsid w:val="00917BB7"/>
    <w:rsid w:val="00934B86"/>
    <w:rsid w:val="00944A9D"/>
    <w:rsid w:val="00952862"/>
    <w:rsid w:val="0095755C"/>
    <w:rsid w:val="00992940"/>
    <w:rsid w:val="009947D4"/>
    <w:rsid w:val="009A0F7A"/>
    <w:rsid w:val="009E2657"/>
    <w:rsid w:val="009F0752"/>
    <w:rsid w:val="00A271D9"/>
    <w:rsid w:val="00A336B0"/>
    <w:rsid w:val="00AB6309"/>
    <w:rsid w:val="00BE6A27"/>
    <w:rsid w:val="00C11592"/>
    <w:rsid w:val="00C43763"/>
    <w:rsid w:val="00C6609E"/>
    <w:rsid w:val="00C72511"/>
    <w:rsid w:val="00CE6CBD"/>
    <w:rsid w:val="00DE7DD3"/>
    <w:rsid w:val="00E07E39"/>
    <w:rsid w:val="00E373BC"/>
    <w:rsid w:val="00EE5E08"/>
    <w:rsid w:val="00F00A66"/>
    <w:rsid w:val="00F748A6"/>
    <w:rsid w:val="00F97591"/>
    <w:rsid w:val="5D7FDD2C"/>
    <w:rsid w:val="5F690DED"/>
    <w:rsid w:val="FC6FB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523</Words>
  <Characters>2984</Characters>
  <Lines>24</Lines>
  <Paragraphs>6</Paragraphs>
  <TotalTime>109</TotalTime>
  <ScaleCrop>false</ScaleCrop>
  <LinksUpToDate>false</LinksUpToDate>
  <CharactersWithSpaces>3501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2021-09-10T03:46:00Z</dcterms:created>
  <dc:creator>Chinese User</dc:creator>
  <cp:lastModifiedBy>uos</cp:lastModifiedBy>
  <dcterms:modified xsi:type="dcterms:W3CDTF">2021-09-16T17:07:23Z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