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80" w:lineRule="exact"/>
        <w:jc w:val="left"/>
        <w:textAlignment w:val="auto"/>
        <w:rPr>
          <w:rFonts w:eastAsia="黑体"/>
          <w:sz w:val="32"/>
          <w:szCs w:val="44"/>
        </w:rPr>
      </w:pPr>
      <w:bookmarkStart w:id="0" w:name="_GoBack"/>
      <w:r>
        <w:rPr>
          <w:rFonts w:eastAsia="黑体"/>
          <w:sz w:val="32"/>
          <w:szCs w:val="44"/>
        </w:rPr>
        <w:t>附件1</w:t>
      </w:r>
    </w:p>
    <w:p>
      <w:pPr>
        <w:keepNext w:val="0"/>
        <w:keepLines w:val="0"/>
        <w:pageBreakBefore w:val="0"/>
        <w:kinsoku/>
        <w:wordWrap/>
        <w:overflowPunct/>
        <w:topLinePunct w:val="0"/>
        <w:autoSpaceDE/>
        <w:autoSpaceDN/>
        <w:bidi w:val="0"/>
        <w:adjustRightInd/>
        <w:snapToGrid/>
        <w:spacing w:line="580" w:lineRule="exact"/>
        <w:jc w:val="left"/>
        <w:textAlignment w:val="auto"/>
        <w:rPr>
          <w:rFonts w:eastAsia="方正小标宋简体"/>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eastAsia="方正小标宋简体"/>
          <w:sz w:val="44"/>
          <w:szCs w:val="44"/>
        </w:rPr>
      </w:pPr>
      <w:r>
        <w:rPr>
          <w:rFonts w:eastAsia="方正小标宋简体"/>
          <w:sz w:val="44"/>
          <w:szCs w:val="44"/>
        </w:rPr>
        <w:t>2022年度东莞市研究生联合培养（实践）</w:t>
      </w:r>
    </w:p>
    <w:p>
      <w:pPr>
        <w:keepNext w:val="0"/>
        <w:keepLines w:val="0"/>
        <w:pageBreakBefore w:val="0"/>
        <w:kinsoku/>
        <w:wordWrap/>
        <w:overflowPunct/>
        <w:topLinePunct w:val="0"/>
        <w:autoSpaceDE/>
        <w:autoSpaceDN/>
        <w:bidi w:val="0"/>
        <w:adjustRightInd/>
        <w:snapToGrid/>
        <w:spacing w:line="580" w:lineRule="exact"/>
        <w:jc w:val="center"/>
        <w:textAlignment w:val="auto"/>
        <w:rPr>
          <w:rFonts w:eastAsia="方正小标宋简体"/>
          <w:sz w:val="44"/>
          <w:szCs w:val="44"/>
        </w:rPr>
      </w:pPr>
      <w:r>
        <w:rPr>
          <w:rFonts w:eastAsia="方正小标宋简体"/>
          <w:sz w:val="44"/>
          <w:szCs w:val="44"/>
        </w:rPr>
        <w:t>工作站申报指南</w:t>
      </w:r>
    </w:p>
    <w:p>
      <w:pPr>
        <w:keepNext w:val="0"/>
        <w:keepLines w:val="0"/>
        <w:pageBreakBefore w:val="0"/>
        <w:kinsoku/>
        <w:wordWrap/>
        <w:overflowPunct/>
        <w:topLinePunct w:val="0"/>
        <w:autoSpaceDE/>
        <w:autoSpaceDN/>
        <w:bidi w:val="0"/>
        <w:adjustRightInd/>
        <w:snapToGrid/>
        <w:spacing w:line="580" w:lineRule="exact"/>
        <w:contextualSpacing/>
        <w:jc w:val="center"/>
        <w:textAlignment w:val="auto"/>
        <w:rPr>
          <w:rFonts w:eastAsia="仿宋_GB2312"/>
          <w:kern w:val="0"/>
          <w:sz w:val="31"/>
          <w:szCs w:val="31"/>
        </w:rPr>
      </w:pP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黑体"/>
          <w:kern w:val="0"/>
          <w:sz w:val="32"/>
          <w:szCs w:val="32"/>
        </w:rPr>
      </w:pPr>
      <w:r>
        <w:rPr>
          <w:rFonts w:eastAsia="黑体"/>
          <w:kern w:val="0"/>
          <w:sz w:val="32"/>
          <w:szCs w:val="32"/>
        </w:rPr>
        <w:t>一、实施目的</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仿宋_GB2312"/>
          <w:kern w:val="0"/>
          <w:sz w:val="32"/>
          <w:szCs w:val="32"/>
        </w:rPr>
      </w:pPr>
      <w:r>
        <w:rPr>
          <w:rFonts w:eastAsia="仿宋_GB2312"/>
          <w:kern w:val="0"/>
          <w:sz w:val="32"/>
          <w:szCs w:val="32"/>
        </w:rPr>
        <w:t>为吸引和支持更多优质企事业单位参与国内外高水平大学研究生来莞培养（实践）和开展项目研究，实现在东莞培养创新型、实践型和复合型等高层次人才，助力东莞企业科研能力提升</w:t>
      </w:r>
      <w:r>
        <w:rPr>
          <w:rFonts w:eastAsia="仿宋_GB2312"/>
          <w:sz w:val="32"/>
          <w:szCs w:val="32"/>
        </w:rPr>
        <w:t>，现</w:t>
      </w:r>
      <w:r>
        <w:rPr>
          <w:rFonts w:eastAsia="仿宋_GB2312"/>
          <w:kern w:val="0"/>
          <w:sz w:val="32"/>
          <w:szCs w:val="32"/>
        </w:rPr>
        <w:t>制定东莞市研究生联合培养（实践）工作站（以下简称“工作站”）2022年度申报指南。</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黑体"/>
          <w:kern w:val="0"/>
          <w:sz w:val="32"/>
          <w:szCs w:val="32"/>
        </w:rPr>
      </w:pPr>
      <w:r>
        <w:rPr>
          <w:rFonts w:eastAsia="黑体"/>
          <w:kern w:val="0"/>
          <w:sz w:val="32"/>
          <w:szCs w:val="32"/>
        </w:rPr>
        <w:t>二、基本要求</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仿宋_GB2312"/>
          <w:kern w:val="0"/>
          <w:sz w:val="32"/>
          <w:szCs w:val="32"/>
        </w:rPr>
      </w:pPr>
      <w:r>
        <w:rPr>
          <w:rFonts w:eastAsia="仿宋_GB2312"/>
          <w:kern w:val="0"/>
          <w:sz w:val="32"/>
          <w:szCs w:val="32"/>
        </w:rPr>
        <w:t>（一）工作站建站单位应提供满足研究生联合培养（实践）需要的食宿、科研等基本条件；确定研究生联合培养（实践）科研课题；配备企业导师和管理人员负责工作站管理及研究生指导工作；建立完备的研究生联合培养（实践）管理制度；安排企业导师指导研究生在培养单位的科研过程，协同高校导师指导研究生完成学位论文；组织研究生培养（实践）工作的科研月度小结和季度评估，以及协助东莞市名校研究生培育发展中心做好研究生思想政治教育等相关工作。</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黑体"/>
          <w:kern w:val="0"/>
          <w:sz w:val="32"/>
          <w:szCs w:val="32"/>
        </w:rPr>
      </w:pPr>
      <w:r>
        <w:rPr>
          <w:rFonts w:eastAsia="黑体"/>
          <w:kern w:val="0"/>
          <w:sz w:val="32"/>
          <w:szCs w:val="32"/>
        </w:rPr>
        <w:t>三、认定条件</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仿宋_GB2312"/>
          <w:kern w:val="0"/>
          <w:sz w:val="32"/>
          <w:szCs w:val="32"/>
        </w:rPr>
      </w:pPr>
      <w:r>
        <w:rPr>
          <w:rFonts w:eastAsia="仿宋_GB2312"/>
          <w:kern w:val="0"/>
          <w:sz w:val="32"/>
          <w:szCs w:val="32"/>
        </w:rPr>
        <w:t>申报工作站认定应当符合以下条件：</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仿宋_GB2312"/>
          <w:color w:val="auto"/>
          <w:kern w:val="0"/>
          <w:sz w:val="32"/>
          <w:szCs w:val="32"/>
        </w:rPr>
      </w:pPr>
      <w:r>
        <w:rPr>
          <w:rFonts w:eastAsia="仿宋_GB2312"/>
          <w:color w:val="auto"/>
          <w:kern w:val="0"/>
          <w:sz w:val="32"/>
          <w:szCs w:val="32"/>
        </w:rPr>
        <w:t>（一）</w:t>
      </w:r>
      <w:r>
        <w:rPr>
          <w:rFonts w:hint="eastAsia" w:eastAsia="仿宋_GB2312"/>
          <w:color w:val="auto"/>
          <w:kern w:val="0"/>
          <w:sz w:val="32"/>
          <w:szCs w:val="32"/>
        </w:rPr>
        <w:t>在我市注册具有独立法人资格的高新技术企业、建有省级以上重点实验室或工程</w:t>
      </w:r>
      <w:r>
        <w:rPr>
          <w:rFonts w:hint="eastAsia" w:eastAsia="仿宋_GB2312"/>
          <w:color w:val="auto"/>
          <w:kern w:val="0"/>
          <w:sz w:val="32"/>
          <w:szCs w:val="32"/>
          <w:lang w:eastAsia="zh-CN"/>
        </w:rPr>
        <w:t>技术研究</w:t>
      </w:r>
      <w:r>
        <w:rPr>
          <w:rFonts w:hint="eastAsia" w:eastAsia="仿宋_GB2312"/>
          <w:color w:val="auto"/>
          <w:kern w:val="0"/>
          <w:sz w:val="32"/>
          <w:szCs w:val="32"/>
        </w:rPr>
        <w:t>中心企业、创新</w:t>
      </w:r>
      <w:r>
        <w:rPr>
          <w:rFonts w:hint="eastAsia" w:eastAsia="仿宋_GB2312"/>
          <w:color w:val="auto"/>
          <w:kern w:val="0"/>
          <w:sz w:val="32"/>
          <w:szCs w:val="32"/>
          <w:lang w:eastAsia="zh-CN"/>
        </w:rPr>
        <w:t>型</w:t>
      </w:r>
      <w:r>
        <w:rPr>
          <w:rFonts w:hint="eastAsia" w:eastAsia="仿宋_GB2312"/>
          <w:color w:val="auto"/>
          <w:kern w:val="0"/>
          <w:sz w:val="32"/>
          <w:szCs w:val="32"/>
        </w:rPr>
        <w:t>企业、新型研发机构</w:t>
      </w:r>
      <w:r>
        <w:rPr>
          <w:rFonts w:hint="eastAsia" w:eastAsia="仿宋_GB2312"/>
          <w:color w:val="auto"/>
          <w:kern w:val="0"/>
          <w:sz w:val="32"/>
          <w:szCs w:val="32"/>
          <w:lang w:eastAsia="zh-CN"/>
        </w:rPr>
        <w:t>或</w:t>
      </w:r>
      <w:r>
        <w:rPr>
          <w:rFonts w:hint="eastAsia" w:eastAsia="仿宋_GB2312"/>
          <w:color w:val="auto"/>
          <w:kern w:val="0"/>
          <w:sz w:val="32"/>
          <w:szCs w:val="32"/>
        </w:rPr>
        <w:t>三甲医院。</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仿宋_GB2312"/>
          <w:kern w:val="0"/>
          <w:sz w:val="32"/>
          <w:szCs w:val="32"/>
        </w:rPr>
      </w:pPr>
      <w:r>
        <w:rPr>
          <w:rFonts w:eastAsia="仿宋_GB2312"/>
          <w:kern w:val="0"/>
          <w:sz w:val="32"/>
          <w:szCs w:val="32"/>
        </w:rPr>
        <w:t>（二）已设立研发机构，具有较强科技创新能力，有明确的研发主攻方向和稳定的科研经费投入、固定的研发场所和实验仪器设备，拥有有效发明专利1件及以上或实用新型专利5件及以上，其中企事业单位的上年度研发经费支出占年收入总额不低于3%，新型研发机构的上年度研发经费支出占年收入总额不低于10%。</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仿宋_GB2312"/>
          <w:kern w:val="0"/>
          <w:sz w:val="32"/>
          <w:szCs w:val="32"/>
        </w:rPr>
      </w:pPr>
      <w:r>
        <w:rPr>
          <w:rFonts w:eastAsia="仿宋_GB2312"/>
          <w:kern w:val="0"/>
          <w:sz w:val="32"/>
          <w:szCs w:val="32"/>
        </w:rPr>
        <w:t>（三）具有经市研究生培养管理部门备案的企业导师，且年龄原则上一般不超过60周岁。企业导师具有指导研究生实践所需的相关专业知识、科学研究或产业化经历，具有丰富的实践经验和较显著的工作成果，能协助高校导师指导研究生进行文献阅读、课题研究和论文撰写等，并且达到以下条件之一者：</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仿宋_GB2312"/>
          <w:kern w:val="0"/>
          <w:sz w:val="32"/>
          <w:szCs w:val="32"/>
        </w:rPr>
      </w:pPr>
      <w:r>
        <w:rPr>
          <w:rFonts w:eastAsia="仿宋_GB2312"/>
          <w:kern w:val="0"/>
          <w:sz w:val="32"/>
          <w:szCs w:val="32"/>
        </w:rPr>
        <w:t>1．具有博士学历的人员，或具有硕士学历且具有3年以上工作经验；</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仿宋_GB2312"/>
          <w:kern w:val="0"/>
          <w:sz w:val="32"/>
          <w:szCs w:val="32"/>
        </w:rPr>
      </w:pPr>
      <w:r>
        <w:rPr>
          <w:rFonts w:eastAsia="仿宋_GB2312"/>
          <w:kern w:val="0"/>
          <w:sz w:val="32"/>
          <w:szCs w:val="32"/>
        </w:rPr>
        <w:t>2．具有副高级技术职称及以上岗位人员；</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仿宋_GB2312"/>
          <w:kern w:val="0"/>
          <w:sz w:val="32"/>
          <w:szCs w:val="32"/>
        </w:rPr>
      </w:pPr>
      <w:r>
        <w:rPr>
          <w:rFonts w:eastAsia="仿宋_GB2312"/>
          <w:kern w:val="0"/>
          <w:sz w:val="32"/>
          <w:szCs w:val="32"/>
        </w:rPr>
        <w:t>3．主持市级以上科研项目的研究与开发人员；</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仿宋_GB2312"/>
          <w:kern w:val="0"/>
          <w:sz w:val="32"/>
          <w:szCs w:val="32"/>
        </w:rPr>
      </w:pPr>
      <w:r>
        <w:rPr>
          <w:rFonts w:eastAsia="仿宋_GB2312"/>
          <w:kern w:val="0"/>
          <w:sz w:val="32"/>
          <w:szCs w:val="32"/>
        </w:rPr>
        <w:t>4．获市级以上科技类或社科类奖项的主要人员，且为第一完成人；</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仿宋_GB2312"/>
          <w:kern w:val="0"/>
          <w:sz w:val="32"/>
          <w:szCs w:val="32"/>
        </w:rPr>
      </w:pPr>
      <w:r>
        <w:rPr>
          <w:rFonts w:eastAsia="仿宋_GB2312"/>
          <w:kern w:val="0"/>
          <w:sz w:val="32"/>
          <w:szCs w:val="32"/>
        </w:rPr>
        <w:t>5．近5年来主持或为主（前三位）承担过省部级以上科研项目或经费数额较大的横向科研课题，并有充足的科研经费；</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仿宋_GB2312"/>
          <w:kern w:val="0"/>
          <w:sz w:val="32"/>
          <w:szCs w:val="32"/>
        </w:rPr>
      </w:pPr>
      <w:r>
        <w:rPr>
          <w:rFonts w:eastAsia="仿宋_GB2312"/>
          <w:kern w:val="0"/>
          <w:sz w:val="32"/>
          <w:szCs w:val="32"/>
        </w:rPr>
        <w:t>6．大中型企事业单位的技术总监及以上人员；</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仿宋_GB2312"/>
          <w:kern w:val="0"/>
          <w:sz w:val="32"/>
          <w:szCs w:val="32"/>
        </w:rPr>
      </w:pPr>
      <w:r>
        <w:rPr>
          <w:rFonts w:eastAsia="仿宋_GB2312"/>
          <w:kern w:val="0"/>
          <w:sz w:val="32"/>
          <w:szCs w:val="32"/>
        </w:rPr>
        <w:t>7．近5年来发表过4篇及以上高水平专业学术研究论文，或独立出版过一部以上学术著作；</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仿宋_GB2312"/>
          <w:kern w:val="0"/>
          <w:sz w:val="32"/>
          <w:szCs w:val="32"/>
        </w:rPr>
      </w:pPr>
      <w:r>
        <w:rPr>
          <w:rFonts w:eastAsia="仿宋_GB2312"/>
          <w:kern w:val="0"/>
          <w:sz w:val="32"/>
          <w:szCs w:val="32"/>
        </w:rPr>
        <w:t>8．获3件及以上发明专利授权，且为第一发明人。</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仿宋_GB2312"/>
          <w:kern w:val="0"/>
          <w:sz w:val="32"/>
          <w:szCs w:val="32"/>
        </w:rPr>
      </w:pPr>
      <w:r>
        <w:rPr>
          <w:rFonts w:eastAsia="仿宋_GB2312"/>
          <w:kern w:val="0"/>
          <w:sz w:val="32"/>
          <w:szCs w:val="32"/>
        </w:rPr>
        <w:t>（四）近4年累计联合培养（实践）研究生不少于3人</w:t>
      </w:r>
      <w:r>
        <w:rPr>
          <w:rFonts w:hint="eastAsia" w:eastAsia="仿宋_GB2312"/>
          <w:kern w:val="0"/>
          <w:sz w:val="32"/>
          <w:szCs w:val="32"/>
          <w:lang w:eastAsia="zh-CN"/>
        </w:rPr>
        <w:t>（均需在研究生中心完成备案）</w:t>
      </w:r>
      <w:r>
        <w:rPr>
          <w:rFonts w:eastAsia="仿宋_GB2312"/>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仿宋_GB2312"/>
          <w:kern w:val="0"/>
          <w:sz w:val="32"/>
          <w:szCs w:val="32"/>
        </w:rPr>
      </w:pPr>
      <w:r>
        <w:rPr>
          <w:rFonts w:eastAsia="仿宋_GB2312"/>
          <w:kern w:val="0"/>
          <w:sz w:val="32"/>
          <w:szCs w:val="32"/>
        </w:rPr>
        <w:t>（五）具有合理、清晰的研究生联合培养（实践）工作站管理制度，对进站的研究生有明确培养课程、工作任务，设立合适的研究生实践岗位。</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仿宋_GB2312"/>
          <w:kern w:val="0"/>
          <w:sz w:val="32"/>
          <w:szCs w:val="32"/>
        </w:rPr>
      </w:pPr>
      <w:r>
        <w:rPr>
          <w:rFonts w:eastAsia="仿宋_GB2312"/>
          <w:kern w:val="0"/>
          <w:sz w:val="32"/>
          <w:szCs w:val="32"/>
        </w:rPr>
        <w:t>（六）具有开展研究生联合培养（实践）的科研课题（以下简称“科研课题”）。科研课题是工作站的核心载体，必须在研究生中心综合服务平台完成发布。科研课题应围绕我市经济社会发展对人才和技术的需求，联合高校院所或高校导师开展工作站平台建设、技术研究、校企联合课程开发等科研活动，重点支持新一代信息技术、高端装备制造、新材料、新能源、生命科学和生物技术等新型产业领域的科研课题；</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仿宋_GB2312"/>
          <w:kern w:val="0"/>
          <w:sz w:val="32"/>
          <w:szCs w:val="32"/>
        </w:rPr>
      </w:pPr>
      <w:r>
        <w:rPr>
          <w:rFonts w:eastAsia="仿宋_GB2312"/>
          <w:kern w:val="0"/>
          <w:sz w:val="32"/>
          <w:szCs w:val="32"/>
        </w:rPr>
        <w:t>（七）按照国家《医院分级管理标准》，获评为三级甲等医院且近4年累计联合培养（实践）的研究生不少于3人，可按流程提交佐证材料认定为工作站。</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textAlignment w:val="auto"/>
        <w:rPr>
          <w:rFonts w:eastAsia="黑体"/>
          <w:kern w:val="0"/>
          <w:sz w:val="32"/>
          <w:szCs w:val="32"/>
        </w:rPr>
      </w:pPr>
      <w:r>
        <w:rPr>
          <w:rFonts w:eastAsia="黑体"/>
          <w:kern w:val="0"/>
          <w:sz w:val="32"/>
          <w:szCs w:val="32"/>
        </w:rPr>
        <w:t>四、申报及认定程序</w:t>
      </w:r>
    </w:p>
    <w:p>
      <w:pPr>
        <w:pStyle w:val="11"/>
        <w:keepNext w:val="0"/>
        <w:keepLines w:val="0"/>
        <w:pageBreakBefore w:val="0"/>
        <w:numPr>
          <w:ilvl w:val="0"/>
          <w:numId w:val="1"/>
        </w:numPr>
        <w:kinsoku/>
        <w:wordWrap/>
        <w:overflowPunct/>
        <w:topLinePunct w:val="0"/>
        <w:autoSpaceDE/>
        <w:autoSpaceDN/>
        <w:bidi w:val="0"/>
        <w:adjustRightInd/>
        <w:snapToGrid/>
        <w:spacing w:line="580" w:lineRule="exact"/>
        <w:ind w:left="0" w:firstLine="643"/>
        <w:contextualSpacing/>
        <w:textAlignment w:val="auto"/>
        <w:rPr>
          <w:rFonts w:eastAsia="仿宋_GB2312"/>
          <w:kern w:val="0"/>
          <w:sz w:val="32"/>
          <w:szCs w:val="32"/>
        </w:rPr>
      </w:pPr>
      <w:r>
        <w:rPr>
          <w:rFonts w:eastAsia="楷体_GB2312"/>
          <w:b/>
          <w:kern w:val="0"/>
          <w:sz w:val="32"/>
          <w:szCs w:val="32"/>
        </w:rPr>
        <w:t>网上填报。</w:t>
      </w:r>
      <w:r>
        <w:rPr>
          <w:rFonts w:eastAsia="仿宋_GB2312"/>
          <w:bCs/>
          <w:kern w:val="0"/>
          <w:sz w:val="32"/>
          <w:szCs w:val="32"/>
        </w:rPr>
        <w:t>申报单位进入东莞市名校研究生培育发展中心管理平台（</w:t>
      </w:r>
      <w:r>
        <w:rPr>
          <w:rFonts w:hint="eastAsia" w:eastAsia="仿宋_GB2312"/>
          <w:bCs/>
          <w:kern w:val="0"/>
          <w:sz w:val="32"/>
          <w:szCs w:val="32"/>
        </w:rPr>
        <w:t>以下</w:t>
      </w:r>
      <w:r>
        <w:rPr>
          <w:rFonts w:eastAsia="仿宋_GB2312"/>
          <w:bCs/>
          <w:kern w:val="0"/>
          <w:sz w:val="32"/>
          <w:szCs w:val="32"/>
        </w:rPr>
        <w:t>简称“</w:t>
      </w:r>
      <w:r>
        <w:rPr>
          <w:rFonts w:hint="eastAsia" w:eastAsia="仿宋_GB2312"/>
          <w:bCs/>
          <w:kern w:val="0"/>
          <w:sz w:val="32"/>
          <w:szCs w:val="32"/>
        </w:rPr>
        <w:t>中心管理</w:t>
      </w:r>
      <w:r>
        <w:rPr>
          <w:rFonts w:eastAsia="仿宋_GB2312"/>
          <w:bCs/>
          <w:kern w:val="0"/>
          <w:sz w:val="32"/>
          <w:szCs w:val="32"/>
        </w:rPr>
        <w:t>平台”http://dgstb.dg.gov.cn/dgyjs）填写并提交申报书。首次申报需注册新帐号。</w:t>
      </w:r>
    </w:p>
    <w:p>
      <w:pPr>
        <w:pStyle w:val="11"/>
        <w:keepNext w:val="0"/>
        <w:keepLines w:val="0"/>
        <w:pageBreakBefore w:val="0"/>
        <w:numPr>
          <w:ilvl w:val="0"/>
          <w:numId w:val="1"/>
        </w:numPr>
        <w:kinsoku/>
        <w:wordWrap/>
        <w:overflowPunct/>
        <w:topLinePunct w:val="0"/>
        <w:autoSpaceDE/>
        <w:autoSpaceDN/>
        <w:bidi w:val="0"/>
        <w:adjustRightInd/>
        <w:snapToGrid/>
        <w:spacing w:line="580" w:lineRule="exact"/>
        <w:ind w:left="0" w:firstLine="643"/>
        <w:contextualSpacing/>
        <w:textAlignment w:val="auto"/>
        <w:rPr>
          <w:rFonts w:eastAsia="仿宋_GB2312"/>
          <w:kern w:val="0"/>
          <w:sz w:val="32"/>
          <w:szCs w:val="32"/>
        </w:rPr>
      </w:pPr>
      <w:r>
        <w:rPr>
          <w:rFonts w:eastAsia="楷体_GB2312"/>
          <w:b/>
          <w:kern w:val="0"/>
          <w:sz w:val="32"/>
          <w:szCs w:val="32"/>
        </w:rPr>
        <w:t>网上审查。</w:t>
      </w:r>
      <w:r>
        <w:rPr>
          <w:rFonts w:eastAsia="仿宋_GB2312"/>
          <w:kern w:val="0"/>
          <w:sz w:val="32"/>
          <w:szCs w:val="32"/>
        </w:rPr>
        <w:t>市名校研究生培育发展中心对申报材料的真实性、完整性和一致性进行审核。</w:t>
      </w:r>
    </w:p>
    <w:p>
      <w:pPr>
        <w:pStyle w:val="11"/>
        <w:keepNext w:val="0"/>
        <w:keepLines w:val="0"/>
        <w:pageBreakBefore w:val="0"/>
        <w:numPr>
          <w:ilvl w:val="0"/>
          <w:numId w:val="1"/>
        </w:numPr>
        <w:kinsoku/>
        <w:wordWrap/>
        <w:overflowPunct/>
        <w:topLinePunct w:val="0"/>
        <w:autoSpaceDE/>
        <w:autoSpaceDN/>
        <w:bidi w:val="0"/>
        <w:adjustRightInd/>
        <w:snapToGrid/>
        <w:spacing w:line="580" w:lineRule="exact"/>
        <w:ind w:left="0" w:firstLine="643"/>
        <w:contextualSpacing/>
        <w:textAlignment w:val="auto"/>
        <w:rPr>
          <w:rFonts w:eastAsia="仿宋_GB2312"/>
          <w:kern w:val="0"/>
          <w:sz w:val="32"/>
          <w:szCs w:val="32"/>
        </w:rPr>
      </w:pPr>
      <w:r>
        <w:rPr>
          <w:rFonts w:eastAsia="楷体_GB2312"/>
          <w:b/>
          <w:kern w:val="0"/>
          <w:sz w:val="32"/>
          <w:szCs w:val="32"/>
        </w:rPr>
        <w:t>材料</w:t>
      </w:r>
      <w:r>
        <w:rPr>
          <w:rFonts w:hint="eastAsia" w:eastAsia="楷体_GB2312"/>
          <w:b/>
          <w:kern w:val="0"/>
          <w:sz w:val="32"/>
          <w:szCs w:val="32"/>
        </w:rPr>
        <w:t>报送</w:t>
      </w:r>
      <w:r>
        <w:rPr>
          <w:rFonts w:eastAsia="楷体_GB2312"/>
          <w:b/>
          <w:kern w:val="0"/>
          <w:sz w:val="32"/>
          <w:szCs w:val="32"/>
        </w:rPr>
        <w:t>。</w:t>
      </w:r>
      <w:r>
        <w:rPr>
          <w:rFonts w:eastAsia="仿宋_GB2312"/>
          <w:kern w:val="0"/>
          <w:sz w:val="32"/>
          <w:szCs w:val="32"/>
        </w:rPr>
        <w:t>网上审核通过后，申报单位请在一周内按要求打印书面材料（A4规格打印一式三份，左侧装订，对每一页面依序连续编写页码），单位负责人签字并加盖单位公章后，提交至东莞市松山湖国际创新创业社区A3栋五楼511室。</w:t>
      </w:r>
    </w:p>
    <w:p>
      <w:pPr>
        <w:pStyle w:val="11"/>
        <w:keepNext w:val="0"/>
        <w:keepLines w:val="0"/>
        <w:pageBreakBefore w:val="0"/>
        <w:numPr>
          <w:ilvl w:val="0"/>
          <w:numId w:val="1"/>
        </w:numPr>
        <w:kinsoku/>
        <w:wordWrap/>
        <w:overflowPunct/>
        <w:topLinePunct w:val="0"/>
        <w:autoSpaceDE/>
        <w:autoSpaceDN/>
        <w:bidi w:val="0"/>
        <w:adjustRightInd/>
        <w:snapToGrid/>
        <w:spacing w:line="580" w:lineRule="exact"/>
        <w:ind w:left="0" w:firstLine="643"/>
        <w:contextualSpacing/>
        <w:textAlignment w:val="auto"/>
        <w:rPr>
          <w:rFonts w:eastAsia="仿宋_GB2312"/>
          <w:kern w:val="0"/>
          <w:sz w:val="32"/>
          <w:szCs w:val="32"/>
        </w:rPr>
      </w:pPr>
      <w:r>
        <w:rPr>
          <w:rFonts w:hint="eastAsia" w:eastAsia="仿宋_GB2312"/>
          <w:b/>
          <w:bCs/>
          <w:kern w:val="0"/>
          <w:sz w:val="32"/>
          <w:szCs w:val="32"/>
        </w:rPr>
        <w:t>通知下达。</w:t>
      </w:r>
      <w:r>
        <w:rPr>
          <w:rFonts w:hint="eastAsia" w:eastAsia="仿宋_GB2312"/>
          <w:kern w:val="0"/>
          <w:sz w:val="32"/>
          <w:szCs w:val="32"/>
        </w:rPr>
        <w:t>市科学技术局确定通过认定的单位名单，并下达工作站认定通知。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eastAsia="黑体"/>
          <w:kern w:val="0"/>
          <w:sz w:val="32"/>
          <w:szCs w:val="32"/>
        </w:rPr>
      </w:pPr>
      <w:r>
        <w:rPr>
          <w:rFonts w:eastAsia="黑体"/>
          <w:kern w:val="0"/>
          <w:sz w:val="32"/>
          <w:szCs w:val="32"/>
        </w:rPr>
        <w:t>五、工作站支持措施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通过认定的申报单位</w:t>
      </w:r>
      <w:r>
        <w:rPr>
          <w:rFonts w:hint="eastAsia" w:eastAsia="仿宋_GB2312"/>
          <w:kern w:val="0"/>
          <w:sz w:val="32"/>
          <w:szCs w:val="32"/>
        </w:rPr>
        <w:t>授牌“东莞市研究生联合培养（实践）工作站”，工作站</w:t>
      </w:r>
      <w:r>
        <w:rPr>
          <w:rFonts w:eastAsia="仿宋_GB2312"/>
          <w:kern w:val="0"/>
          <w:sz w:val="32"/>
          <w:szCs w:val="32"/>
        </w:rPr>
        <w:t>优先获得研究生中心与高校联合培养指标</w:t>
      </w:r>
      <w:r>
        <w:rPr>
          <w:rFonts w:hint="eastAsia" w:eastAsia="仿宋_GB2312"/>
          <w:kern w:val="0"/>
          <w:sz w:val="32"/>
          <w:szCs w:val="32"/>
        </w:rPr>
        <w:t>，可参与优秀工作站评选，评选优秀的工作站可获得相关经费奖励。</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eastAsia="黑体"/>
          <w:kern w:val="0"/>
          <w:sz w:val="32"/>
          <w:szCs w:val="32"/>
        </w:rPr>
      </w:pPr>
      <w:r>
        <w:rPr>
          <w:rFonts w:eastAsia="黑体"/>
          <w:kern w:val="0"/>
          <w:sz w:val="32"/>
          <w:szCs w:val="32"/>
        </w:rPr>
        <w:t>六、申报材料</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（一）研究生联合培养（实践）工作站申报书，包括东莞市研究生联合培养（实践）工作站可行性报告。</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（二）申报单位的资质证明（法人营业执照及身份证、申报单位的上一年度财务审计报告、申报单位上年度研发费用专项审计报告、企业研发机构佐证材料、申报单位有效知识产权证书等）。</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（三）申报单位</w:t>
      </w:r>
      <w:r>
        <w:rPr>
          <w:rFonts w:hint="eastAsia" w:eastAsia="仿宋_GB2312"/>
          <w:kern w:val="0"/>
          <w:sz w:val="32"/>
          <w:szCs w:val="32"/>
        </w:rPr>
        <w:t>在中心管理平台已</w:t>
      </w:r>
      <w:r>
        <w:rPr>
          <w:rFonts w:eastAsia="仿宋_GB2312"/>
          <w:kern w:val="0"/>
          <w:sz w:val="32"/>
          <w:szCs w:val="32"/>
        </w:rPr>
        <w:t>备案通过的企业导师名单。</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（四）申报单位</w:t>
      </w:r>
      <w:r>
        <w:rPr>
          <w:rFonts w:hint="eastAsia" w:eastAsia="仿宋_GB2312"/>
          <w:kern w:val="0"/>
          <w:sz w:val="32"/>
          <w:szCs w:val="32"/>
        </w:rPr>
        <w:t>在中心管理平台</w:t>
      </w:r>
      <w:r>
        <w:rPr>
          <w:rFonts w:eastAsia="仿宋_GB2312"/>
          <w:kern w:val="0"/>
          <w:sz w:val="32"/>
          <w:szCs w:val="32"/>
        </w:rPr>
        <w:t>开展联合培养（实践）</w:t>
      </w:r>
      <w:r>
        <w:rPr>
          <w:rFonts w:hint="eastAsia" w:eastAsia="仿宋_GB2312"/>
          <w:kern w:val="0"/>
          <w:sz w:val="32"/>
          <w:szCs w:val="32"/>
        </w:rPr>
        <w:t>时间不少于6个月</w:t>
      </w:r>
      <w:r>
        <w:rPr>
          <w:rFonts w:eastAsia="仿宋_GB2312"/>
          <w:kern w:val="0"/>
          <w:sz w:val="32"/>
          <w:szCs w:val="32"/>
        </w:rPr>
        <w:t>的研究生清单。</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（五）申报单位研究生联合培养（实践）工作站管理制度。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（六）研究生联合培养（实践）的科研课题相关资料（必须在研究生中心综合服务平台完成发布）。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（七）其他佐证资料，包括：研究开发项目资料、所获荣誉及奖励、前期研究成果及工作基础材料等证明材料。</w:t>
      </w:r>
    </w:p>
    <w:bookmarkEnd w:id="0"/>
    <w:sectPr>
      <w:footerReference r:id="rId3" w:type="default"/>
      <w:footerReference r:id="rId4" w:type="even"/>
      <w:pgSz w:w="11906" w:h="16838"/>
      <w:pgMar w:top="2098" w:right="1304" w:bottom="1304"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3001DC"/>
    <w:multiLevelType w:val="multilevel"/>
    <w:tmpl w:val="793001DC"/>
    <w:lvl w:ilvl="0" w:tentative="0">
      <w:start w:val="1"/>
      <w:numFmt w:val="chineseCountingThousand"/>
      <w:lvlText w:val="（%1）"/>
      <w:lvlJc w:val="left"/>
      <w:pPr>
        <w:ind w:left="1697" w:hanging="420"/>
      </w:pPr>
      <w:rPr>
        <w:rFonts w:hint="eastAsia" w:ascii="楷体_GB2312" w:eastAsia="楷体_GB2312"/>
        <w:b/>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219"/>
    <w:rsid w:val="0001743C"/>
    <w:rsid w:val="00022068"/>
    <w:rsid w:val="00022D73"/>
    <w:rsid w:val="00030412"/>
    <w:rsid w:val="000329DA"/>
    <w:rsid w:val="00037BB7"/>
    <w:rsid w:val="00047022"/>
    <w:rsid w:val="0005041B"/>
    <w:rsid w:val="000515F2"/>
    <w:rsid w:val="00056DD9"/>
    <w:rsid w:val="000613C2"/>
    <w:rsid w:val="00061FA5"/>
    <w:rsid w:val="00063117"/>
    <w:rsid w:val="00067B39"/>
    <w:rsid w:val="0007471C"/>
    <w:rsid w:val="000759D1"/>
    <w:rsid w:val="00080612"/>
    <w:rsid w:val="000812A8"/>
    <w:rsid w:val="0008577C"/>
    <w:rsid w:val="000A56FB"/>
    <w:rsid w:val="000A6A44"/>
    <w:rsid w:val="000B0A13"/>
    <w:rsid w:val="000B44CC"/>
    <w:rsid w:val="000B6130"/>
    <w:rsid w:val="000C30A3"/>
    <w:rsid w:val="000C7148"/>
    <w:rsid w:val="000C717A"/>
    <w:rsid w:val="000C7AA1"/>
    <w:rsid w:val="000D0D05"/>
    <w:rsid w:val="000D1B00"/>
    <w:rsid w:val="000D1F0A"/>
    <w:rsid w:val="000E04C5"/>
    <w:rsid w:val="000E0BC4"/>
    <w:rsid w:val="000E55B7"/>
    <w:rsid w:val="000E7404"/>
    <w:rsid w:val="000F679F"/>
    <w:rsid w:val="000F72B2"/>
    <w:rsid w:val="0010292B"/>
    <w:rsid w:val="00102A2B"/>
    <w:rsid w:val="00106CA2"/>
    <w:rsid w:val="0011138E"/>
    <w:rsid w:val="00112AE8"/>
    <w:rsid w:val="00115ED0"/>
    <w:rsid w:val="00123709"/>
    <w:rsid w:val="001253FE"/>
    <w:rsid w:val="00125ED9"/>
    <w:rsid w:val="00126D16"/>
    <w:rsid w:val="001275DC"/>
    <w:rsid w:val="001378F2"/>
    <w:rsid w:val="001445C0"/>
    <w:rsid w:val="00155896"/>
    <w:rsid w:val="00166714"/>
    <w:rsid w:val="00166901"/>
    <w:rsid w:val="001674CD"/>
    <w:rsid w:val="001728C3"/>
    <w:rsid w:val="00172A27"/>
    <w:rsid w:val="00172E55"/>
    <w:rsid w:val="00173E2D"/>
    <w:rsid w:val="00175EDB"/>
    <w:rsid w:val="0018187F"/>
    <w:rsid w:val="00182F8E"/>
    <w:rsid w:val="00190C2B"/>
    <w:rsid w:val="00191069"/>
    <w:rsid w:val="001914F8"/>
    <w:rsid w:val="0019685F"/>
    <w:rsid w:val="001A4696"/>
    <w:rsid w:val="001A5AD6"/>
    <w:rsid w:val="001B66DF"/>
    <w:rsid w:val="001C04EE"/>
    <w:rsid w:val="001C72CA"/>
    <w:rsid w:val="001C737E"/>
    <w:rsid w:val="001D29F6"/>
    <w:rsid w:val="001D38BB"/>
    <w:rsid w:val="001D497B"/>
    <w:rsid w:val="001F1495"/>
    <w:rsid w:val="001F22BA"/>
    <w:rsid w:val="001F7DA5"/>
    <w:rsid w:val="00211D7A"/>
    <w:rsid w:val="002257ED"/>
    <w:rsid w:val="002269A7"/>
    <w:rsid w:val="0024218A"/>
    <w:rsid w:val="00245923"/>
    <w:rsid w:val="00245A40"/>
    <w:rsid w:val="00250902"/>
    <w:rsid w:val="0025303F"/>
    <w:rsid w:val="00253184"/>
    <w:rsid w:val="002644C7"/>
    <w:rsid w:val="00267683"/>
    <w:rsid w:val="002843F3"/>
    <w:rsid w:val="00285248"/>
    <w:rsid w:val="00285C32"/>
    <w:rsid w:val="002862E5"/>
    <w:rsid w:val="0029234C"/>
    <w:rsid w:val="00297A19"/>
    <w:rsid w:val="002A56BF"/>
    <w:rsid w:val="002B096D"/>
    <w:rsid w:val="002B14D7"/>
    <w:rsid w:val="002B1C2F"/>
    <w:rsid w:val="002B25B7"/>
    <w:rsid w:val="002D34BC"/>
    <w:rsid w:val="002E44BC"/>
    <w:rsid w:val="002E55DE"/>
    <w:rsid w:val="002F7289"/>
    <w:rsid w:val="00302CBB"/>
    <w:rsid w:val="00302FDA"/>
    <w:rsid w:val="00303C6E"/>
    <w:rsid w:val="00304690"/>
    <w:rsid w:val="003046DE"/>
    <w:rsid w:val="003079E8"/>
    <w:rsid w:val="00321B1F"/>
    <w:rsid w:val="003247B7"/>
    <w:rsid w:val="00327794"/>
    <w:rsid w:val="003315AE"/>
    <w:rsid w:val="0033323C"/>
    <w:rsid w:val="0033461D"/>
    <w:rsid w:val="0033688C"/>
    <w:rsid w:val="00337DB7"/>
    <w:rsid w:val="00340960"/>
    <w:rsid w:val="00350535"/>
    <w:rsid w:val="003613B8"/>
    <w:rsid w:val="00363842"/>
    <w:rsid w:val="00372301"/>
    <w:rsid w:val="0038044E"/>
    <w:rsid w:val="00383E48"/>
    <w:rsid w:val="003949BB"/>
    <w:rsid w:val="003A2B61"/>
    <w:rsid w:val="003A2E77"/>
    <w:rsid w:val="003A3128"/>
    <w:rsid w:val="003B2192"/>
    <w:rsid w:val="003B226C"/>
    <w:rsid w:val="003B57FC"/>
    <w:rsid w:val="003B6817"/>
    <w:rsid w:val="003B6AB7"/>
    <w:rsid w:val="003C3D80"/>
    <w:rsid w:val="003C6503"/>
    <w:rsid w:val="003D34D0"/>
    <w:rsid w:val="003D4C02"/>
    <w:rsid w:val="003E1193"/>
    <w:rsid w:val="003E2A36"/>
    <w:rsid w:val="003E3CE2"/>
    <w:rsid w:val="003E723B"/>
    <w:rsid w:val="004026CA"/>
    <w:rsid w:val="00404B64"/>
    <w:rsid w:val="00404B91"/>
    <w:rsid w:val="00417278"/>
    <w:rsid w:val="0042157C"/>
    <w:rsid w:val="00434DE0"/>
    <w:rsid w:val="0045028D"/>
    <w:rsid w:val="00450DD8"/>
    <w:rsid w:val="00456C70"/>
    <w:rsid w:val="004621EF"/>
    <w:rsid w:val="00465615"/>
    <w:rsid w:val="00466A98"/>
    <w:rsid w:val="00467E01"/>
    <w:rsid w:val="00486ABD"/>
    <w:rsid w:val="00486CC1"/>
    <w:rsid w:val="004A34B1"/>
    <w:rsid w:val="004B0728"/>
    <w:rsid w:val="004B08A4"/>
    <w:rsid w:val="004B34B0"/>
    <w:rsid w:val="004C1524"/>
    <w:rsid w:val="004D79B5"/>
    <w:rsid w:val="004F11BE"/>
    <w:rsid w:val="004F1F31"/>
    <w:rsid w:val="004F43F8"/>
    <w:rsid w:val="004F6703"/>
    <w:rsid w:val="004F71E5"/>
    <w:rsid w:val="00503BA0"/>
    <w:rsid w:val="00504637"/>
    <w:rsid w:val="005072CE"/>
    <w:rsid w:val="00511706"/>
    <w:rsid w:val="00512F75"/>
    <w:rsid w:val="00520C1F"/>
    <w:rsid w:val="00523DB1"/>
    <w:rsid w:val="00532C91"/>
    <w:rsid w:val="00533A46"/>
    <w:rsid w:val="0053466E"/>
    <w:rsid w:val="00547AA9"/>
    <w:rsid w:val="00551899"/>
    <w:rsid w:val="00551FEA"/>
    <w:rsid w:val="005645AB"/>
    <w:rsid w:val="0057079E"/>
    <w:rsid w:val="00573F2E"/>
    <w:rsid w:val="00583F70"/>
    <w:rsid w:val="00585764"/>
    <w:rsid w:val="0059727A"/>
    <w:rsid w:val="005A273F"/>
    <w:rsid w:val="005B0D28"/>
    <w:rsid w:val="005B7A6C"/>
    <w:rsid w:val="005C51B0"/>
    <w:rsid w:val="005D5B14"/>
    <w:rsid w:val="005E5DA3"/>
    <w:rsid w:val="005E7B12"/>
    <w:rsid w:val="005F1A07"/>
    <w:rsid w:val="005F6BF2"/>
    <w:rsid w:val="00605F92"/>
    <w:rsid w:val="006074D9"/>
    <w:rsid w:val="0061705E"/>
    <w:rsid w:val="006210CD"/>
    <w:rsid w:val="00632F40"/>
    <w:rsid w:val="00633DB4"/>
    <w:rsid w:val="00634506"/>
    <w:rsid w:val="00637C2F"/>
    <w:rsid w:val="0064180A"/>
    <w:rsid w:val="0064579E"/>
    <w:rsid w:val="006508A7"/>
    <w:rsid w:val="0066306C"/>
    <w:rsid w:val="00667222"/>
    <w:rsid w:val="00681814"/>
    <w:rsid w:val="00687A05"/>
    <w:rsid w:val="006932A6"/>
    <w:rsid w:val="00693D60"/>
    <w:rsid w:val="00696D69"/>
    <w:rsid w:val="006A24EF"/>
    <w:rsid w:val="006A6C07"/>
    <w:rsid w:val="006B7177"/>
    <w:rsid w:val="006B71CD"/>
    <w:rsid w:val="006B7F3A"/>
    <w:rsid w:val="006C102B"/>
    <w:rsid w:val="006C51AC"/>
    <w:rsid w:val="006D5234"/>
    <w:rsid w:val="006D657A"/>
    <w:rsid w:val="006D74BC"/>
    <w:rsid w:val="006E2D63"/>
    <w:rsid w:val="006E64ED"/>
    <w:rsid w:val="00704122"/>
    <w:rsid w:val="00707560"/>
    <w:rsid w:val="007160C1"/>
    <w:rsid w:val="00717CD2"/>
    <w:rsid w:val="0073176B"/>
    <w:rsid w:val="00735715"/>
    <w:rsid w:val="00737FFD"/>
    <w:rsid w:val="00741924"/>
    <w:rsid w:val="00742C18"/>
    <w:rsid w:val="00743B93"/>
    <w:rsid w:val="00743C64"/>
    <w:rsid w:val="007526FE"/>
    <w:rsid w:val="007649F2"/>
    <w:rsid w:val="0076643F"/>
    <w:rsid w:val="00767D59"/>
    <w:rsid w:val="007719DB"/>
    <w:rsid w:val="0077786A"/>
    <w:rsid w:val="00793E1C"/>
    <w:rsid w:val="00796301"/>
    <w:rsid w:val="007A3A7B"/>
    <w:rsid w:val="007B075C"/>
    <w:rsid w:val="007B0A2A"/>
    <w:rsid w:val="007B6B3C"/>
    <w:rsid w:val="007D0C8E"/>
    <w:rsid w:val="007D5E66"/>
    <w:rsid w:val="007E2BAB"/>
    <w:rsid w:val="007E42CA"/>
    <w:rsid w:val="00801DDC"/>
    <w:rsid w:val="00814226"/>
    <w:rsid w:val="00814239"/>
    <w:rsid w:val="00815DE8"/>
    <w:rsid w:val="008257F3"/>
    <w:rsid w:val="0082619F"/>
    <w:rsid w:val="00831227"/>
    <w:rsid w:val="008362A7"/>
    <w:rsid w:val="0083781B"/>
    <w:rsid w:val="008404ED"/>
    <w:rsid w:val="00844581"/>
    <w:rsid w:val="008508E2"/>
    <w:rsid w:val="00851549"/>
    <w:rsid w:val="00853F7A"/>
    <w:rsid w:val="00862E6A"/>
    <w:rsid w:val="0086418F"/>
    <w:rsid w:val="00875DD1"/>
    <w:rsid w:val="00880824"/>
    <w:rsid w:val="0088537A"/>
    <w:rsid w:val="00891A75"/>
    <w:rsid w:val="00893A59"/>
    <w:rsid w:val="00893E90"/>
    <w:rsid w:val="008979F0"/>
    <w:rsid w:val="008B5AB8"/>
    <w:rsid w:val="008C0F32"/>
    <w:rsid w:val="008C1F26"/>
    <w:rsid w:val="008C35A6"/>
    <w:rsid w:val="008C658F"/>
    <w:rsid w:val="008C6796"/>
    <w:rsid w:val="008D0B72"/>
    <w:rsid w:val="008D7C2C"/>
    <w:rsid w:val="008E4347"/>
    <w:rsid w:val="008E4CF9"/>
    <w:rsid w:val="008F68C3"/>
    <w:rsid w:val="00902F80"/>
    <w:rsid w:val="009100E5"/>
    <w:rsid w:val="00916A04"/>
    <w:rsid w:val="00916A52"/>
    <w:rsid w:val="0092286B"/>
    <w:rsid w:val="009232BD"/>
    <w:rsid w:val="0092688A"/>
    <w:rsid w:val="00933173"/>
    <w:rsid w:val="009412DE"/>
    <w:rsid w:val="009452FF"/>
    <w:rsid w:val="009468A5"/>
    <w:rsid w:val="009520AC"/>
    <w:rsid w:val="00965818"/>
    <w:rsid w:val="00966702"/>
    <w:rsid w:val="009721F4"/>
    <w:rsid w:val="00975297"/>
    <w:rsid w:val="0097673A"/>
    <w:rsid w:val="0098637C"/>
    <w:rsid w:val="009A0C11"/>
    <w:rsid w:val="009A22D0"/>
    <w:rsid w:val="009A7095"/>
    <w:rsid w:val="009B494E"/>
    <w:rsid w:val="009C21C4"/>
    <w:rsid w:val="009C2A8B"/>
    <w:rsid w:val="009C73EE"/>
    <w:rsid w:val="009D207E"/>
    <w:rsid w:val="009D361B"/>
    <w:rsid w:val="009D6969"/>
    <w:rsid w:val="009E2321"/>
    <w:rsid w:val="009E325D"/>
    <w:rsid w:val="009E3329"/>
    <w:rsid w:val="009F323C"/>
    <w:rsid w:val="009F4DCA"/>
    <w:rsid w:val="009F5BB9"/>
    <w:rsid w:val="009F5F0F"/>
    <w:rsid w:val="00A04856"/>
    <w:rsid w:val="00A06787"/>
    <w:rsid w:val="00A206A2"/>
    <w:rsid w:val="00A25A22"/>
    <w:rsid w:val="00A33350"/>
    <w:rsid w:val="00A37F84"/>
    <w:rsid w:val="00A45CD4"/>
    <w:rsid w:val="00A476FD"/>
    <w:rsid w:val="00A542D6"/>
    <w:rsid w:val="00A7306B"/>
    <w:rsid w:val="00A73250"/>
    <w:rsid w:val="00A7625C"/>
    <w:rsid w:val="00A76EA2"/>
    <w:rsid w:val="00A832FE"/>
    <w:rsid w:val="00A909F3"/>
    <w:rsid w:val="00A9304D"/>
    <w:rsid w:val="00AA0DCA"/>
    <w:rsid w:val="00AB1DB4"/>
    <w:rsid w:val="00AC2A7C"/>
    <w:rsid w:val="00AC63DD"/>
    <w:rsid w:val="00AD3A9A"/>
    <w:rsid w:val="00AF4647"/>
    <w:rsid w:val="00B00213"/>
    <w:rsid w:val="00B275EF"/>
    <w:rsid w:val="00B5013D"/>
    <w:rsid w:val="00B6433E"/>
    <w:rsid w:val="00B64348"/>
    <w:rsid w:val="00B850D0"/>
    <w:rsid w:val="00B87AAC"/>
    <w:rsid w:val="00B92026"/>
    <w:rsid w:val="00BA6BB0"/>
    <w:rsid w:val="00BB38CC"/>
    <w:rsid w:val="00BC25ED"/>
    <w:rsid w:val="00BF336B"/>
    <w:rsid w:val="00BF769B"/>
    <w:rsid w:val="00C02035"/>
    <w:rsid w:val="00C0594C"/>
    <w:rsid w:val="00C106FF"/>
    <w:rsid w:val="00C27DBC"/>
    <w:rsid w:val="00C27E6C"/>
    <w:rsid w:val="00C3289D"/>
    <w:rsid w:val="00C3377B"/>
    <w:rsid w:val="00C5188A"/>
    <w:rsid w:val="00C56FEE"/>
    <w:rsid w:val="00C60FEE"/>
    <w:rsid w:val="00C614B7"/>
    <w:rsid w:val="00C641D0"/>
    <w:rsid w:val="00C64D1F"/>
    <w:rsid w:val="00C724D1"/>
    <w:rsid w:val="00C83587"/>
    <w:rsid w:val="00C849E0"/>
    <w:rsid w:val="00C86C37"/>
    <w:rsid w:val="00C936CD"/>
    <w:rsid w:val="00C9399F"/>
    <w:rsid w:val="00C95F1D"/>
    <w:rsid w:val="00C97205"/>
    <w:rsid w:val="00CA0F8C"/>
    <w:rsid w:val="00CA4154"/>
    <w:rsid w:val="00CB33F2"/>
    <w:rsid w:val="00CB4828"/>
    <w:rsid w:val="00CC2F50"/>
    <w:rsid w:val="00CC6DAB"/>
    <w:rsid w:val="00CD3B80"/>
    <w:rsid w:val="00CD7547"/>
    <w:rsid w:val="00CE13C2"/>
    <w:rsid w:val="00CE170E"/>
    <w:rsid w:val="00CE7643"/>
    <w:rsid w:val="00CF1EAD"/>
    <w:rsid w:val="00CF4B42"/>
    <w:rsid w:val="00CF4E5C"/>
    <w:rsid w:val="00D107A2"/>
    <w:rsid w:val="00D10CC8"/>
    <w:rsid w:val="00D15A76"/>
    <w:rsid w:val="00D15EA6"/>
    <w:rsid w:val="00D21AB9"/>
    <w:rsid w:val="00D222B9"/>
    <w:rsid w:val="00D308FD"/>
    <w:rsid w:val="00D334E3"/>
    <w:rsid w:val="00D41ABE"/>
    <w:rsid w:val="00D41C8F"/>
    <w:rsid w:val="00D526A7"/>
    <w:rsid w:val="00D56400"/>
    <w:rsid w:val="00D60BA3"/>
    <w:rsid w:val="00D71B34"/>
    <w:rsid w:val="00D736A9"/>
    <w:rsid w:val="00D75603"/>
    <w:rsid w:val="00D76289"/>
    <w:rsid w:val="00D83E86"/>
    <w:rsid w:val="00D86089"/>
    <w:rsid w:val="00D954DA"/>
    <w:rsid w:val="00DA25F4"/>
    <w:rsid w:val="00DA7010"/>
    <w:rsid w:val="00DA7055"/>
    <w:rsid w:val="00DD254C"/>
    <w:rsid w:val="00DE408B"/>
    <w:rsid w:val="00DE65FB"/>
    <w:rsid w:val="00E12708"/>
    <w:rsid w:val="00E139FE"/>
    <w:rsid w:val="00E14E42"/>
    <w:rsid w:val="00E2220E"/>
    <w:rsid w:val="00E22F32"/>
    <w:rsid w:val="00E24A9D"/>
    <w:rsid w:val="00E26495"/>
    <w:rsid w:val="00E27EF4"/>
    <w:rsid w:val="00E6656E"/>
    <w:rsid w:val="00E66BE4"/>
    <w:rsid w:val="00E72A77"/>
    <w:rsid w:val="00E84157"/>
    <w:rsid w:val="00E84DB2"/>
    <w:rsid w:val="00E92A68"/>
    <w:rsid w:val="00E97B79"/>
    <w:rsid w:val="00EA2857"/>
    <w:rsid w:val="00EA3DEB"/>
    <w:rsid w:val="00EC46BA"/>
    <w:rsid w:val="00EC6EFF"/>
    <w:rsid w:val="00EC7250"/>
    <w:rsid w:val="00EC7B7F"/>
    <w:rsid w:val="00ED2020"/>
    <w:rsid w:val="00ED2A00"/>
    <w:rsid w:val="00EE1274"/>
    <w:rsid w:val="00EE6644"/>
    <w:rsid w:val="00F00230"/>
    <w:rsid w:val="00F00F73"/>
    <w:rsid w:val="00F5200F"/>
    <w:rsid w:val="00F535A6"/>
    <w:rsid w:val="00F54A55"/>
    <w:rsid w:val="00F578CC"/>
    <w:rsid w:val="00F70A54"/>
    <w:rsid w:val="00F9228C"/>
    <w:rsid w:val="00F9685F"/>
    <w:rsid w:val="00FA0C3A"/>
    <w:rsid w:val="00FA2AC5"/>
    <w:rsid w:val="00FA714F"/>
    <w:rsid w:val="00FB57A3"/>
    <w:rsid w:val="00FC49C2"/>
    <w:rsid w:val="00FD122C"/>
    <w:rsid w:val="00FE4C7B"/>
    <w:rsid w:val="00FF0099"/>
    <w:rsid w:val="01470BC0"/>
    <w:rsid w:val="01B718FE"/>
    <w:rsid w:val="024854B4"/>
    <w:rsid w:val="05944969"/>
    <w:rsid w:val="05D91BF0"/>
    <w:rsid w:val="05F36FD7"/>
    <w:rsid w:val="06A31883"/>
    <w:rsid w:val="07EC3C5D"/>
    <w:rsid w:val="08873A68"/>
    <w:rsid w:val="08B10E6D"/>
    <w:rsid w:val="0C0C5E80"/>
    <w:rsid w:val="0C75689B"/>
    <w:rsid w:val="0DD45AFB"/>
    <w:rsid w:val="0E740DEA"/>
    <w:rsid w:val="0E8A77CA"/>
    <w:rsid w:val="0F147A15"/>
    <w:rsid w:val="0FEE18AA"/>
    <w:rsid w:val="109E6D2D"/>
    <w:rsid w:val="111B5CB9"/>
    <w:rsid w:val="120D71F2"/>
    <w:rsid w:val="12525CE5"/>
    <w:rsid w:val="13F62597"/>
    <w:rsid w:val="15FD05A0"/>
    <w:rsid w:val="16B61E18"/>
    <w:rsid w:val="16DD560A"/>
    <w:rsid w:val="175F342B"/>
    <w:rsid w:val="1B875527"/>
    <w:rsid w:val="1E980687"/>
    <w:rsid w:val="1EB569EA"/>
    <w:rsid w:val="206338F7"/>
    <w:rsid w:val="21370ED0"/>
    <w:rsid w:val="21CC3D10"/>
    <w:rsid w:val="228A59B5"/>
    <w:rsid w:val="23870B20"/>
    <w:rsid w:val="24534F6E"/>
    <w:rsid w:val="24D5539B"/>
    <w:rsid w:val="289600E8"/>
    <w:rsid w:val="2CB13C46"/>
    <w:rsid w:val="2D515046"/>
    <w:rsid w:val="2DCA5CC2"/>
    <w:rsid w:val="313A7ED5"/>
    <w:rsid w:val="36641912"/>
    <w:rsid w:val="36794D0C"/>
    <w:rsid w:val="36D00B18"/>
    <w:rsid w:val="373FCC32"/>
    <w:rsid w:val="38D82EE2"/>
    <w:rsid w:val="3B3F1578"/>
    <w:rsid w:val="3D172B3D"/>
    <w:rsid w:val="3FE8348F"/>
    <w:rsid w:val="41452454"/>
    <w:rsid w:val="4A050BE9"/>
    <w:rsid w:val="4B0722CA"/>
    <w:rsid w:val="4B2A1DE1"/>
    <w:rsid w:val="4B4E24C6"/>
    <w:rsid w:val="4DA44A85"/>
    <w:rsid w:val="4FBF95DB"/>
    <w:rsid w:val="51916A1F"/>
    <w:rsid w:val="544614DF"/>
    <w:rsid w:val="55712721"/>
    <w:rsid w:val="56D144D1"/>
    <w:rsid w:val="58EBEB07"/>
    <w:rsid w:val="5C16270E"/>
    <w:rsid w:val="5D8144F6"/>
    <w:rsid w:val="62E610E6"/>
    <w:rsid w:val="645936D0"/>
    <w:rsid w:val="65A9011F"/>
    <w:rsid w:val="69740906"/>
    <w:rsid w:val="6A8E2D77"/>
    <w:rsid w:val="6B48712C"/>
    <w:rsid w:val="6B4D461E"/>
    <w:rsid w:val="6C567910"/>
    <w:rsid w:val="6FCC6C67"/>
    <w:rsid w:val="703F280A"/>
    <w:rsid w:val="70816565"/>
    <w:rsid w:val="725F15DF"/>
    <w:rsid w:val="72C27FA7"/>
    <w:rsid w:val="731A49A1"/>
    <w:rsid w:val="77222DF2"/>
    <w:rsid w:val="795729A6"/>
    <w:rsid w:val="798B42E7"/>
    <w:rsid w:val="79C23D61"/>
    <w:rsid w:val="7BDCF57F"/>
    <w:rsid w:val="7D0E3D31"/>
    <w:rsid w:val="7D720064"/>
    <w:rsid w:val="7EE3049A"/>
    <w:rsid w:val="7F4FC526"/>
    <w:rsid w:val="7FDFF1C4"/>
    <w:rsid w:val="BBDC6F34"/>
    <w:rsid w:val="BED7DCDC"/>
    <w:rsid w:val="D7B61B64"/>
    <w:rsid w:val="EBF97CD3"/>
    <w:rsid w:val="F9C67423"/>
    <w:rsid w:val="FBB75045"/>
    <w:rsid w:val="FBBF4E83"/>
    <w:rsid w:val="FBFD37C1"/>
    <w:rsid w:val="FE7FA584"/>
    <w:rsid w:val="FEAFA32F"/>
    <w:rsid w:val="FFDA5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right="-35" w:rightChars="-12"/>
    </w:pPr>
    <w:rPr>
      <w:rFonts w:eastAsia="仿宋_GB2312"/>
      <w:sz w:val="31"/>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pPr>
      <w:spacing w:before="360"/>
      <w:jc w:val="left"/>
    </w:pPr>
    <w:rPr>
      <w:rFonts w:asciiTheme="majorHAnsi" w:hAnsiTheme="majorHAnsi"/>
      <w:b/>
      <w:bCs/>
      <w:caps/>
      <w:sz w:val="24"/>
    </w:rPr>
  </w:style>
  <w:style w:type="character" w:styleId="9">
    <w:name w:val="page number"/>
    <w:basedOn w:val="8"/>
    <w:qFormat/>
    <w:uiPriority w:val="0"/>
  </w:style>
  <w:style w:type="paragraph" w:customStyle="1" w:styleId="10">
    <w:name w:val="列出段落1"/>
    <w:basedOn w:val="1"/>
    <w:qFormat/>
    <w:uiPriority w:val="0"/>
    <w:pPr>
      <w:ind w:firstLine="420" w:firstLineChars="200"/>
    </w:p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310</Words>
  <Characters>1772</Characters>
  <Lines>14</Lines>
  <Paragraphs>4</Paragraphs>
  <TotalTime>741</TotalTime>
  <ScaleCrop>false</ScaleCrop>
  <LinksUpToDate>false</LinksUpToDate>
  <CharactersWithSpaces>2078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2017-06-25T17:03:00Z</dcterms:created>
  <dc:creator>zyh</dc:creator>
  <cp:lastModifiedBy>uos</cp:lastModifiedBy>
  <cp:lastPrinted>2022-05-06T14:41:06Z</cp:lastPrinted>
  <dcterms:modified xsi:type="dcterms:W3CDTF">2022-05-06T14:45:56Z</dcterms:modified>
  <dc:title>2014年东莞市国际科技合作（含港澳台）</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