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sz w:val="32"/>
          <w:szCs w:val="32"/>
        </w:rPr>
      </w:pPr>
      <w:r>
        <w:rPr>
          <w:rFonts w:hint="eastAsia" w:ascii="黑体" w:hAnsi="黑体" w:eastAsia="黑体"/>
          <w:sz w:val="32"/>
          <w:szCs w:val="32"/>
        </w:rPr>
        <w:t>附件2</w:t>
      </w:r>
    </w:p>
    <w:p/>
    <w:tbl>
      <w:tblPr>
        <w:tblStyle w:val="5"/>
        <w:tblW w:w="8931"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1"/>
        <w:gridCol w:w="5712"/>
        <w:gridCol w:w="6"/>
        <w:gridCol w:w="9"/>
        <w:gridCol w:w="980"/>
        <w:gridCol w:w="15"/>
        <w:gridCol w:w="71"/>
        <w:gridCol w:w="19"/>
        <w:gridCol w:w="40"/>
        <w:gridCol w:w="9"/>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931" w:type="dxa"/>
            <w:gridSpan w:val="11"/>
            <w:tcBorders>
              <w:top w:val="nil"/>
              <w:left w:val="nil"/>
              <w:bottom w:val="single" w:color="auto" w:sz="8" w:space="0"/>
              <w:right w:val="nil"/>
            </w:tcBorders>
            <w:vAlign w:val="center"/>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外籍成员申请在华永久居留积分评估标准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指标及得分范畴</w:t>
            </w:r>
          </w:p>
        </w:tc>
        <w:tc>
          <w:tcPr>
            <w:tcW w:w="1010" w:type="dxa"/>
            <w:gridSpan w:val="4"/>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分数</w:t>
            </w:r>
          </w:p>
        </w:tc>
        <w:tc>
          <w:tcPr>
            <w:tcW w:w="1138"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教育水平（最高15分）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138" w:type="dxa"/>
            <w:gridSpan w:val="5"/>
            <w:tcBorders>
              <w:top w:val="nil"/>
              <w:left w:val="nil"/>
              <w:bottom w:val="single" w:color="auto"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学士</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学士以下</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8" w:type="dxa"/>
            <w:gridSpan w:val="5"/>
            <w:tcBorders>
              <w:top w:val="nil"/>
              <w:left w:val="nil"/>
              <w:bottom w:val="single" w:color="auto"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年龄（最高5分）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16-25岁</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8" w:type="dxa"/>
            <w:gridSpan w:val="5"/>
            <w:tcBorders>
              <w:top w:val="nil"/>
              <w:left w:val="nil"/>
              <w:bottom w:val="single" w:color="auto" w:sz="8"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26-55岁</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56-65岁</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66岁以上</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在华工作时间（最高10分）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3.1</w:t>
            </w:r>
          </w:p>
        </w:tc>
        <w:tc>
          <w:tcPr>
            <w:tcW w:w="5712" w:type="dxa"/>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在华工作年限（最高5分）</w:t>
            </w:r>
          </w:p>
        </w:tc>
        <w:tc>
          <w:tcPr>
            <w:tcW w:w="1010" w:type="dxa"/>
            <w:gridSpan w:val="4"/>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138" w:type="dxa"/>
            <w:gridSpan w:val="5"/>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3.1.1</w:t>
            </w:r>
          </w:p>
        </w:tc>
        <w:tc>
          <w:tcPr>
            <w:tcW w:w="5712" w:type="dxa"/>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5年（含）以上</w:t>
            </w:r>
          </w:p>
        </w:tc>
        <w:tc>
          <w:tcPr>
            <w:tcW w:w="1010" w:type="dxa"/>
            <w:gridSpan w:val="4"/>
            <w:tcBorders>
              <w:top w:val="single" w:color="auto" w:sz="8" w:space="0"/>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38" w:type="dxa"/>
            <w:gridSpan w:val="5"/>
            <w:tcBorders>
              <w:top w:val="nil"/>
              <w:left w:val="single" w:color="auto" w:sz="4"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3.1.2</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3年（含）-5年</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3.1.3</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1年（含）-3年</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3.2</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每年在华工作时间（最高5分）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3.2．1</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6个月（含）以上</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38" w:type="dxa"/>
            <w:gridSpan w:val="5"/>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3.2.2</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3（含）-6个月</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8" w:type="dxa"/>
            <w:gridSpan w:val="5"/>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3.2.3</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1（含）-3个月</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8" w:type="dxa"/>
            <w:gridSpan w:val="5"/>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4</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随行家属（最高5分）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w:t>
            </w:r>
          </w:p>
        </w:tc>
        <w:tc>
          <w:tcPr>
            <w:tcW w:w="5712" w:type="dxa"/>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带配偶、子女或父母一同来华工作、学习或生活，近2年连续累计在华停留时间不少于360天</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5712" w:type="dxa"/>
            <w:tcBorders>
              <w:top w:val="single" w:color="auto" w:sz="8" w:space="0"/>
              <w:left w:val="nil"/>
              <w:bottom w:val="single" w:color="auto" w:sz="4" w:space="0"/>
              <w:right w:val="single" w:color="000000"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带配偶、子女或父母一同来华工作、学习或生活，近2年连续累计在华停留时间不少于180天</w:t>
            </w:r>
          </w:p>
        </w:tc>
        <w:tc>
          <w:tcPr>
            <w:tcW w:w="1010" w:type="dxa"/>
            <w:gridSpan w:val="4"/>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8" w:type="dxa"/>
            <w:gridSpan w:val="5"/>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5</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相关工作经验（最高20分）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w:t>
            </w:r>
          </w:p>
        </w:tc>
        <w:tc>
          <w:tcPr>
            <w:tcW w:w="5712" w:type="dxa"/>
            <w:tcBorders>
              <w:top w:val="nil"/>
              <w:left w:val="nil"/>
              <w:bottom w:val="nil"/>
              <w:right w:val="single" w:color="auto" w:sz="8" w:space="0"/>
            </w:tcBorders>
            <w:vAlign w:val="center"/>
          </w:tcPr>
          <w:p>
            <w:pPr>
              <w:widowControl/>
              <w:ind w:firstLine="482" w:firstLineChars="200"/>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符合以下条件之一：</w:t>
            </w:r>
          </w:p>
        </w:tc>
        <w:tc>
          <w:tcPr>
            <w:tcW w:w="995" w:type="dxa"/>
            <w:gridSpan w:val="3"/>
            <w:vMerge w:val="restart"/>
            <w:tcBorders>
              <w:top w:val="nil"/>
              <w:left w:val="single" w:color="auto" w:sz="8" w:space="0"/>
              <w:bottom w:val="single" w:color="000000" w:sz="8" w:space="0"/>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153" w:type="dxa"/>
            <w:gridSpan w:val="6"/>
            <w:vMerge w:val="restart"/>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4" w:space="0"/>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——曾任英国高等教育研究机构QS(Quacquarelli Symonds）、英国《泰晤士报》（The Times）、《美国新闻和世界报导》（US News）、上海交通大学世界大学排行榜等较为通用的高校排名榜单</w:t>
            </w:r>
            <w:r>
              <w:rPr>
                <w:rFonts w:hint="eastAsia" w:ascii="仿宋_GB2312" w:hAnsi="宋体" w:eastAsia="仿宋_GB2312" w:cs="宋体"/>
                <w:kern w:val="0"/>
                <w:sz w:val="24"/>
                <w:szCs w:val="24"/>
              </w:rPr>
              <w:t>发布</w:t>
            </w:r>
            <w:r>
              <w:rPr>
                <w:rFonts w:hint="eastAsia" w:ascii="仿宋_GB2312" w:hAnsi="宋体" w:eastAsia="仿宋_GB2312" w:cs="宋体"/>
                <w:color w:val="000000"/>
                <w:kern w:val="0"/>
                <w:sz w:val="24"/>
                <w:szCs w:val="24"/>
              </w:rPr>
              <w:t>的年度世界大学排名前200名高校的讲师、助理教授，或者以上世界大学排名第201名至第500名高校的副教授，以及排名501名之外高校的正教授、正校长；</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single" w:color="auto" w:sz="4" w:space="0"/>
              <w:left w:val="nil"/>
              <w:bottom w:val="nil"/>
              <w:right w:val="single" w:color="auto" w:sz="4" w:space="0"/>
            </w:tcBorders>
            <w:vAlign w:val="center"/>
          </w:tcPr>
          <w:p>
            <w:pPr>
              <w:ind w:firstLine="480" w:firstLineChars="200"/>
              <w:jc w:val="left"/>
              <w:rPr>
                <w:rFonts w:hint="eastAsia" w:ascii="仿宋_GB2312" w:hAnsi="宋体" w:eastAsia="仿宋_GB2312" w:cs="宋体"/>
                <w:color w:val="000000"/>
                <w:kern w:val="0"/>
                <w:sz w:val="24"/>
                <w:szCs w:val="24"/>
              </w:rPr>
            </w:pPr>
          </w:p>
        </w:tc>
        <w:tc>
          <w:tcPr>
            <w:tcW w:w="995" w:type="dxa"/>
            <w:gridSpan w:val="3"/>
            <w:vMerge w:val="restart"/>
            <w:tcBorders>
              <w:top w:val="single" w:color="auto" w:sz="4" w:space="0"/>
              <w:left w:val="single" w:color="auto" w:sz="4" w:space="0"/>
              <w:bottom w:val="single" w:color="000000" w:sz="8" w:space="0"/>
              <w:right w:val="nil"/>
            </w:tcBorders>
            <w:vAlign w:val="center"/>
          </w:tcPr>
          <w:p>
            <w:pPr>
              <w:jc w:val="left"/>
              <w:rPr>
                <w:rFonts w:ascii="仿宋_GB2312" w:hAnsi="宋体" w:eastAsia="仿宋_GB2312" w:cs="宋体"/>
                <w:color w:val="000000"/>
                <w:kern w:val="0"/>
                <w:sz w:val="24"/>
                <w:szCs w:val="24"/>
              </w:rPr>
            </w:pPr>
          </w:p>
        </w:tc>
        <w:tc>
          <w:tcPr>
            <w:tcW w:w="1153" w:type="dxa"/>
            <w:gridSpan w:val="6"/>
            <w:vMerge w:val="restart"/>
            <w:tcBorders>
              <w:top w:val="single" w:color="auto" w:sz="4" w:space="0"/>
              <w:left w:val="single" w:color="auto" w:sz="8" w:space="0"/>
              <w:bottom w:val="single" w:color="000000" w:sz="8" w:space="0"/>
              <w:right w:val="single" w:color="auto" w:sz="8" w:space="0"/>
            </w:tcBorders>
            <w:vAlign w:val="center"/>
          </w:tcPr>
          <w:p>
            <w:pPr>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4"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——曾获得美国科技信息所（ISI）基本科学指标数据库（Essential Science Indicator，ESI）、英国《自然》杂志（Nature）等权威性科研机构排名榜单近三年发布的前200名的科研机构、科学技术组织的助理研究员等中级职称的人才，或200名之外的副研究员等副高职称的人才；</w:t>
            </w:r>
          </w:p>
        </w:tc>
        <w:tc>
          <w:tcPr>
            <w:tcW w:w="995" w:type="dxa"/>
            <w:gridSpan w:val="3"/>
            <w:vMerge w:val="continue"/>
            <w:tcBorders>
              <w:top w:val="nil"/>
              <w:left w:val="single" w:color="auto" w:sz="4"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在著名国际组织（国际原子能机构、国际标准化组织、国际货币基金组织、国际复兴开发银行、世界知识产权组织、世界贸易组织、联合国环境规划署等）或知名学术协会（国际电气工程师学会、美国数学学会、欧洲核子研究组织等）中担任中层职务者；</w:t>
            </w:r>
          </w:p>
        </w:tc>
        <w:tc>
          <w:tcPr>
            <w:tcW w:w="995" w:type="dxa"/>
            <w:gridSpan w:val="3"/>
            <w:vMerge w:val="continue"/>
            <w:tcBorders>
              <w:top w:val="nil"/>
              <w:left w:val="single" w:color="auto" w:sz="4"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4"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——曾在美国《财富》、《福布斯》杂志近三年公布的世界500强企业总部任部门经理或主管及以上职务者；</w:t>
            </w:r>
          </w:p>
        </w:tc>
        <w:tc>
          <w:tcPr>
            <w:tcW w:w="995" w:type="dxa"/>
            <w:gridSpan w:val="3"/>
            <w:vMerge w:val="continue"/>
            <w:tcBorders>
              <w:top w:val="nil"/>
              <w:left w:val="single" w:color="auto" w:sz="4"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4"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——曾在美国《财富》、《福布斯》杂志近三年公布的中国500强企业总部（未进入世界500强）任高层管理者；</w:t>
            </w:r>
          </w:p>
        </w:tc>
        <w:tc>
          <w:tcPr>
            <w:tcW w:w="995" w:type="dxa"/>
            <w:gridSpan w:val="3"/>
            <w:vMerge w:val="continue"/>
            <w:tcBorders>
              <w:top w:val="nil"/>
              <w:left w:val="single" w:color="auto" w:sz="4"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8" w:space="0"/>
              <w:right w:val="single" w:color="auto" w:sz="4"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——国际著名金融机构，国际著名律师、税务师、会计师事务所，国际著名医疗机构，国际著名学术组织中任中层管理者及以上职务者。</w:t>
            </w:r>
          </w:p>
        </w:tc>
        <w:tc>
          <w:tcPr>
            <w:tcW w:w="995" w:type="dxa"/>
            <w:gridSpan w:val="3"/>
            <w:vMerge w:val="continue"/>
            <w:tcBorders>
              <w:top w:val="nil"/>
              <w:left w:val="single" w:color="auto" w:sz="4"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c>
          <w:tcPr>
            <w:tcW w:w="5712" w:type="dxa"/>
            <w:tcBorders>
              <w:top w:val="nil"/>
              <w:left w:val="nil"/>
              <w:bottom w:val="nil"/>
              <w:right w:val="single" w:color="auto" w:sz="8" w:space="0"/>
            </w:tcBorders>
            <w:vAlign w:val="center"/>
          </w:tcPr>
          <w:p>
            <w:pPr>
              <w:widowControl/>
              <w:ind w:firstLine="482" w:firstLineChars="200"/>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符合以下条件之一：</w:t>
            </w:r>
          </w:p>
        </w:tc>
        <w:tc>
          <w:tcPr>
            <w:tcW w:w="995" w:type="dxa"/>
            <w:gridSpan w:val="3"/>
            <w:vMerge w:val="restart"/>
            <w:tcBorders>
              <w:top w:val="nil"/>
              <w:left w:val="single" w:color="auto" w:sz="8" w:space="0"/>
              <w:bottom w:val="single" w:color="000000" w:sz="8" w:space="0"/>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153" w:type="dxa"/>
            <w:gridSpan w:val="6"/>
            <w:vMerge w:val="restart"/>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——曾任以上世界大学排名榜单第201名至第500名高校的讲师，以及世界大学排名501名之外高校的副教授、副校长；</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——美国科技信息所（ISI）基本科学指标数据库（Essential Science Indicator，ESI）、英国《自然》杂志（Nature）等权威性科研机构排名榜单近三年发布的200名之外的科研机构、科学技术组织的具有助理研究员等中级职称的人才；</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在著名国际组织（国际原子能机构、国际标准化组织、国际货币基金组织、国际复兴开发银行、世界知识产权组织、世界贸易组织、联合国环境规划署等）或知名学术协会（国际电气工程师学会、美国数学学会、欧洲核子研究组织等）中有5年以上工作经验者；</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4" w:space="0"/>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——曾在美国《财富》、《福布斯》杂志近三年公布的世界500强企业总部任职5年以上的人才；</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single" w:color="auto" w:sz="4" w:space="0"/>
              <w:left w:val="nil"/>
              <w:bottom w:val="nil"/>
              <w:right w:val="single" w:color="auto" w:sz="8" w:space="0"/>
            </w:tcBorders>
            <w:vAlign w:val="center"/>
          </w:tcPr>
          <w:p>
            <w:pPr>
              <w:ind w:firstLine="480" w:firstLineChars="200"/>
              <w:jc w:val="left"/>
              <w:rPr>
                <w:rFonts w:hint="eastAsia" w:ascii="仿宋_GB2312" w:hAnsi="宋体" w:eastAsia="仿宋_GB2312" w:cs="宋体"/>
                <w:color w:val="000000"/>
                <w:kern w:val="0"/>
                <w:sz w:val="24"/>
                <w:szCs w:val="24"/>
              </w:rPr>
            </w:pPr>
          </w:p>
        </w:tc>
        <w:tc>
          <w:tcPr>
            <w:tcW w:w="995" w:type="dxa"/>
            <w:gridSpan w:val="3"/>
            <w:vMerge w:val="restart"/>
            <w:tcBorders>
              <w:top w:val="single" w:color="auto" w:sz="4" w:space="0"/>
              <w:left w:val="single" w:color="auto" w:sz="8" w:space="0"/>
              <w:bottom w:val="single" w:color="000000" w:sz="8" w:space="0"/>
              <w:right w:val="nil"/>
            </w:tcBorders>
            <w:vAlign w:val="center"/>
          </w:tcPr>
          <w:p>
            <w:pPr>
              <w:jc w:val="left"/>
              <w:rPr>
                <w:rFonts w:ascii="仿宋_GB2312" w:hAnsi="宋体" w:eastAsia="仿宋_GB2312" w:cs="宋体"/>
                <w:color w:val="000000"/>
                <w:kern w:val="0"/>
                <w:sz w:val="24"/>
                <w:szCs w:val="24"/>
              </w:rPr>
            </w:pPr>
          </w:p>
        </w:tc>
        <w:tc>
          <w:tcPr>
            <w:tcW w:w="1153" w:type="dxa"/>
            <w:gridSpan w:val="6"/>
            <w:vMerge w:val="restart"/>
            <w:tcBorders>
              <w:top w:val="single" w:color="auto" w:sz="4" w:space="0"/>
              <w:left w:val="single" w:color="auto" w:sz="8" w:space="0"/>
              <w:bottom w:val="single" w:color="000000" w:sz="8" w:space="0"/>
              <w:right w:val="single" w:color="auto" w:sz="8" w:space="0"/>
            </w:tcBorders>
            <w:vAlign w:val="center"/>
          </w:tcPr>
          <w:p>
            <w:pPr>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6"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4" w:space="0"/>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——曾在美国《财富》、《福布斯》杂志近三年公布的中国500强企业总部（未进入世界500强）任部门经理或主管及以上职务者；</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single" w:color="auto" w:sz="4" w:space="0"/>
              <w:left w:val="nil"/>
              <w:bottom w:val="nil"/>
              <w:right w:val="single" w:color="auto" w:sz="8" w:space="0"/>
            </w:tcBorders>
            <w:vAlign w:val="center"/>
          </w:tcPr>
          <w:p>
            <w:pPr>
              <w:ind w:firstLine="480" w:firstLineChars="200"/>
              <w:jc w:val="left"/>
              <w:rPr>
                <w:rFonts w:hint="eastAsia" w:ascii="仿宋_GB2312" w:hAnsi="宋体" w:eastAsia="仿宋_GB2312" w:cs="宋体"/>
                <w:color w:val="000000"/>
                <w:kern w:val="0"/>
                <w:sz w:val="24"/>
                <w:szCs w:val="24"/>
              </w:rPr>
            </w:pP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8" w:space="0"/>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——曾在国际著名金融机构、国际著名律师、税务师、会计师事务所、国际著名医疗机构、国际著名学术组织中任职5年以上的人才。</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07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w:t>
            </w:r>
          </w:p>
        </w:tc>
        <w:tc>
          <w:tcPr>
            <w:tcW w:w="5712" w:type="dxa"/>
            <w:tcBorders>
              <w:top w:val="nil"/>
              <w:left w:val="nil"/>
              <w:bottom w:val="nil"/>
              <w:right w:val="single" w:color="auto" w:sz="8" w:space="0"/>
            </w:tcBorders>
            <w:vAlign w:val="center"/>
          </w:tcPr>
          <w:p>
            <w:pPr>
              <w:widowControl/>
              <w:ind w:firstLine="482" w:firstLineChars="200"/>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符合以下条件之一：</w:t>
            </w:r>
          </w:p>
        </w:tc>
        <w:tc>
          <w:tcPr>
            <w:tcW w:w="995" w:type="dxa"/>
            <w:gridSpan w:val="3"/>
            <w:vMerge w:val="restart"/>
            <w:tcBorders>
              <w:top w:val="nil"/>
              <w:left w:val="single" w:color="auto" w:sz="8" w:space="0"/>
              <w:bottom w:val="single" w:color="000000" w:sz="8" w:space="0"/>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153" w:type="dxa"/>
            <w:gridSpan w:val="6"/>
            <w:vMerge w:val="restart"/>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nil"/>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——其他凡在5.1、5.2公布名单工作单位或总部拥有3年以上工作经验者；</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2" w:type="dxa"/>
            <w:tcBorders>
              <w:top w:val="nil"/>
              <w:left w:val="nil"/>
              <w:bottom w:val="single" w:color="auto" w:sz="8" w:space="0"/>
              <w:right w:val="single" w:color="auto" w:sz="8" w:space="0"/>
            </w:tcBorders>
            <w:vAlign w:val="center"/>
          </w:tcPr>
          <w:p>
            <w:pPr>
              <w:widowControl/>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r>
              <w:rPr>
                <w:rFonts w:hint="eastAsia" w:ascii="仿宋_GB2312" w:hAnsi="宋体" w:eastAsia="仿宋_GB2312" w:cs="宋体"/>
                <w:kern w:val="0"/>
                <w:sz w:val="24"/>
                <w:szCs w:val="24"/>
              </w:rPr>
              <w:t>珠</w:t>
            </w:r>
            <w:r>
              <w:rPr>
                <w:rFonts w:hint="eastAsia" w:ascii="仿宋_GB2312" w:hAnsi="宋体" w:eastAsia="仿宋_GB2312" w:cs="宋体"/>
                <w:color w:val="000000"/>
                <w:kern w:val="0"/>
                <w:sz w:val="24"/>
                <w:szCs w:val="24"/>
              </w:rPr>
              <w:t>三角自创区9市和揭阳中德金属生态城工作单位或机构拥有3年以上工作经验者。</w:t>
            </w:r>
          </w:p>
        </w:tc>
        <w:tc>
          <w:tcPr>
            <w:tcW w:w="995" w:type="dxa"/>
            <w:gridSpan w:val="3"/>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153" w:type="dxa"/>
            <w:gridSpan w:val="6"/>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c>
          <w:tcPr>
            <w:tcW w:w="5712"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其它凡在5.1、5.2公布名单之外的工作单位或机构拥有5年以上工作经验者</w:t>
            </w:r>
          </w:p>
        </w:tc>
        <w:tc>
          <w:tcPr>
            <w:tcW w:w="995"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53" w:type="dxa"/>
            <w:gridSpan w:val="6"/>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6</w:t>
            </w:r>
          </w:p>
        </w:tc>
        <w:tc>
          <w:tcPr>
            <w:tcW w:w="7860" w:type="dxa"/>
            <w:gridSpan w:val="10"/>
            <w:tcBorders>
              <w:top w:val="single" w:color="auto" w:sz="8" w:space="0"/>
              <w:left w:val="nil"/>
              <w:bottom w:val="single" w:color="auto" w:sz="8" w:space="0"/>
              <w:right w:val="nil"/>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纳税水平（最高25分）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w:t>
            </w:r>
          </w:p>
        </w:tc>
        <w:tc>
          <w:tcPr>
            <w:tcW w:w="5712"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个人上一年度工资薪金收入个人所得税纳税总额6万元（含）人民币及以上</w:t>
            </w:r>
          </w:p>
        </w:tc>
        <w:tc>
          <w:tcPr>
            <w:tcW w:w="1100"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1048"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6.2</w:t>
            </w:r>
          </w:p>
        </w:tc>
        <w:tc>
          <w:tcPr>
            <w:tcW w:w="5712"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个人上一年度工资薪金收入个人所得税纳税总额4万元（含）人民币至6万元人民币</w:t>
            </w:r>
          </w:p>
        </w:tc>
        <w:tc>
          <w:tcPr>
            <w:tcW w:w="1100"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048"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6.3</w:t>
            </w:r>
          </w:p>
        </w:tc>
        <w:tc>
          <w:tcPr>
            <w:tcW w:w="5712"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个人上一年度工资薪金收入个人所得税纳税总额2万元（含）人民币至4万元人民币</w:t>
            </w:r>
          </w:p>
        </w:tc>
        <w:tc>
          <w:tcPr>
            <w:tcW w:w="1100"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048"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w:t>
            </w:r>
          </w:p>
        </w:tc>
        <w:tc>
          <w:tcPr>
            <w:tcW w:w="5712"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个人上一年度工资薪金收入个人所得税纳税总额1万元（含）人民币至2万元人民币</w:t>
            </w:r>
          </w:p>
        </w:tc>
        <w:tc>
          <w:tcPr>
            <w:tcW w:w="1100"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048"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“团队成长”（最高20分）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7.1</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团队主要成员情况（非本人）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1"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7.1.1</w:t>
            </w: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具有符合下列条件2名及以上者:</w:t>
            </w:r>
          </w:p>
        </w:tc>
        <w:tc>
          <w:tcPr>
            <w:tcW w:w="1134" w:type="dxa"/>
            <w:gridSpan w:val="6"/>
            <w:vMerge w:val="restart"/>
            <w:tcBorders>
              <w:top w:val="nil"/>
              <w:left w:val="single" w:color="auto" w:sz="8" w:space="0"/>
              <w:bottom w:val="single" w:color="000000" w:sz="8" w:space="0"/>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008" w:type="dxa"/>
            <w:gridSpan w:val="2"/>
            <w:vMerge w:val="restart"/>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——曾任英国高等教育研究机构QS(Quacquarelli Symonds）、英国《泰晤士报》（The Times）、《美国新闻和世界报导》（US News）、上海交通大学世界大学排行榜等较为通用的高校排名榜单</w:t>
            </w:r>
            <w:r>
              <w:rPr>
                <w:rFonts w:hint="eastAsia" w:ascii="仿宋_GB2312" w:hAnsi="宋体" w:eastAsia="仿宋_GB2312" w:cs="宋体"/>
                <w:kern w:val="0"/>
                <w:sz w:val="24"/>
                <w:szCs w:val="24"/>
              </w:rPr>
              <w:t>发布</w:t>
            </w:r>
            <w:r>
              <w:rPr>
                <w:rFonts w:hint="eastAsia" w:ascii="仿宋_GB2312" w:hAnsi="宋体" w:eastAsia="仿宋_GB2312" w:cs="宋体"/>
                <w:color w:val="000000"/>
                <w:kern w:val="0"/>
                <w:sz w:val="24"/>
                <w:szCs w:val="24"/>
              </w:rPr>
              <w:t>的年度世界大学排名前200名高校的讲师、助理教授，或者以上世界大学排名第201名至第500名高校的副教授，以及排名501名之外高校的正教授、正校长；</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——曾获得美国科技信息所（ISI）基本科学指标数据库（Essential Science Indicator，ESI）、英国《自然》杂志（Nature）等权威性科研机构排名榜单近三年发布的前200名科研机构、科学技术组织的助理研究员等中级职称的人才，或200名之外的副研究员等副高职称的人才；</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在著名国际组织（国际原子能机构、国际标准化组织、国际货币基金组织、国际复兴开发银行、世界知识产权组织、世界贸易组织、联合国环境规划署等）或知名学术协会（国际电气工程师学会、美国数学学会、欧洲核子研究组织等）中担任中层职务者；</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——曾在美国《财富》、《福布斯》杂志近三年公布的世界500强企业总部任部门经理或主管及以上职务者；</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nil"/>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——曾在美国《财富》、《福布斯》杂志近三年公布的中国500强企业总部（未进入世界500强）任高层管理者；</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5718" w:type="dxa"/>
            <w:gridSpan w:val="2"/>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——国际著名金融机构，国际著名律师、税务师、会计师事务所，国际著名医疗机构，国际著名学术组织，国际标准化组织（ISO）标样委员会担任中层管理者及以上职务者。</w:t>
            </w:r>
          </w:p>
        </w:tc>
        <w:tc>
          <w:tcPr>
            <w:tcW w:w="1134" w:type="dxa"/>
            <w:gridSpan w:val="6"/>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color w:val="000000"/>
                <w:kern w:val="0"/>
                <w:sz w:val="24"/>
                <w:szCs w:val="24"/>
              </w:rPr>
            </w:pPr>
          </w:p>
        </w:tc>
        <w:tc>
          <w:tcPr>
            <w:tcW w:w="100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7.1.2</w:t>
            </w:r>
          </w:p>
        </w:tc>
        <w:tc>
          <w:tcPr>
            <w:tcW w:w="5718" w:type="dxa"/>
            <w:gridSpan w:val="2"/>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团队成员具有符合7.1.1条件1名者或获得珠三角自创区9市和揭阳中德金属生态城重大人才项目支持和奖励（含本人）</w:t>
            </w:r>
          </w:p>
        </w:tc>
        <w:tc>
          <w:tcPr>
            <w:tcW w:w="1143" w:type="dxa"/>
            <w:gridSpan w:val="7"/>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7.1.3</w:t>
            </w:r>
          </w:p>
        </w:tc>
        <w:tc>
          <w:tcPr>
            <w:tcW w:w="5718" w:type="dxa"/>
            <w:gridSpan w:val="2"/>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除7.1.1、7.1.2外其他情况酌情给分</w:t>
            </w:r>
          </w:p>
        </w:tc>
        <w:tc>
          <w:tcPr>
            <w:tcW w:w="1143" w:type="dxa"/>
            <w:gridSpan w:val="7"/>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0-5</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7.2</w:t>
            </w:r>
          </w:p>
        </w:tc>
        <w:tc>
          <w:tcPr>
            <w:tcW w:w="5718" w:type="dxa"/>
            <w:gridSpan w:val="2"/>
            <w:tcBorders>
              <w:top w:val="nil"/>
              <w:left w:val="nil"/>
              <w:bottom w:val="single" w:color="auto" w:sz="8" w:space="0"/>
              <w:right w:val="single" w:color="auto" w:sz="8"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团队结构合理性(技术、营销、市场、财务、法律等专业成员齐备情况)</w:t>
            </w:r>
          </w:p>
        </w:tc>
        <w:tc>
          <w:tcPr>
            <w:tcW w:w="1143" w:type="dxa"/>
            <w:gridSpan w:val="7"/>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0-5</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7.3</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创新创业大赛获奖情况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7.3.1</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获得国际性创新创业大赛奖项</w:t>
            </w:r>
          </w:p>
        </w:tc>
        <w:tc>
          <w:tcPr>
            <w:tcW w:w="1134"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7.3.2</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获得国家级创新创业大赛奖项</w:t>
            </w:r>
          </w:p>
        </w:tc>
        <w:tc>
          <w:tcPr>
            <w:tcW w:w="1134"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7.3.3</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获得市级及以上创新创业大赛奖项</w:t>
            </w:r>
          </w:p>
        </w:tc>
        <w:tc>
          <w:tcPr>
            <w:tcW w:w="1134" w:type="dxa"/>
            <w:gridSpan w:val="6"/>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999"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7.4</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团队拥有创新成果、核心技术情况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7.4.1</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达到国家级及以上水平</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7.4.2</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达到省级水平</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7.4.3</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达到市级水平</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7.5</w:t>
            </w:r>
          </w:p>
        </w:tc>
        <w:tc>
          <w:tcPr>
            <w:tcW w:w="7860" w:type="dxa"/>
            <w:gridSpan w:val="10"/>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获得社会投资或投资机构认可情况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71" w:type="dxa"/>
            <w:tcBorders>
              <w:top w:val="single" w:color="auto" w:sz="4"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7.5.1</w:t>
            </w:r>
          </w:p>
        </w:tc>
        <w:tc>
          <w:tcPr>
            <w:tcW w:w="5727" w:type="dxa"/>
            <w:gridSpan w:val="3"/>
            <w:tcBorders>
              <w:top w:val="single" w:color="auto" w:sz="4" w:space="0"/>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获得投资额90万美元（含）以上</w:t>
            </w:r>
          </w:p>
        </w:tc>
        <w:tc>
          <w:tcPr>
            <w:tcW w:w="1066" w:type="dxa"/>
            <w:gridSpan w:val="3"/>
            <w:tcBorders>
              <w:top w:val="single" w:color="auto" w:sz="4" w:space="0"/>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067" w:type="dxa"/>
            <w:gridSpan w:val="4"/>
            <w:tcBorders>
              <w:top w:val="single" w:color="auto" w:sz="4" w:space="0"/>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7.5.2</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获得投资额70万美元（含）至90万美元</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7.5.3</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获得投资额50万美元（含）至70万美元</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7.5.4</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获得投资额30万美元（含）至50万美元</w:t>
            </w:r>
          </w:p>
        </w:tc>
        <w:tc>
          <w:tcPr>
            <w:tcW w:w="1066" w:type="dxa"/>
            <w:gridSpan w:val="3"/>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067" w:type="dxa"/>
            <w:gridSpan w:val="4"/>
            <w:tcBorders>
              <w:top w:val="nil"/>
              <w:left w:val="nil"/>
              <w:bottom w:val="single" w:color="auto" w:sz="8"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71" w:type="dxa"/>
            <w:tcBorders>
              <w:top w:val="single" w:color="auto" w:sz="4"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7.6</w:t>
            </w:r>
          </w:p>
        </w:tc>
        <w:tc>
          <w:tcPr>
            <w:tcW w:w="7860" w:type="dxa"/>
            <w:gridSpan w:val="10"/>
            <w:tcBorders>
              <w:top w:val="single" w:color="auto" w:sz="4"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7.6.1</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企业每年营业收入或缴纳的各项税收的纳税总额增长100%以上者</w:t>
            </w:r>
          </w:p>
        </w:tc>
        <w:tc>
          <w:tcPr>
            <w:tcW w:w="1066" w:type="dxa"/>
            <w:gridSpan w:val="3"/>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067" w:type="dxa"/>
            <w:gridSpan w:val="4"/>
            <w:tcBorders>
              <w:top w:val="nil"/>
              <w:left w:val="nil"/>
              <w:bottom w:val="single" w:color="auto" w:sz="8"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7.6.2</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企业每年营业收入或缴纳的各项税收的纳税总额增长50%-100%者</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71"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7.6.3</w:t>
            </w:r>
          </w:p>
        </w:tc>
        <w:tc>
          <w:tcPr>
            <w:tcW w:w="5727" w:type="dxa"/>
            <w:gridSpan w:val="3"/>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企业每年营业收入或缴纳的各项税收的纳税总额增长与上年持平或低于50%者</w:t>
            </w:r>
          </w:p>
        </w:tc>
        <w:tc>
          <w:tcPr>
            <w:tcW w:w="106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067" w:type="dxa"/>
            <w:gridSpan w:val="4"/>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798" w:type="dxa"/>
            <w:gridSpan w:val="4"/>
            <w:tcBorders>
              <w:top w:val="single" w:color="auto" w:sz="8" w:space="0"/>
              <w:left w:val="single" w:color="auto" w:sz="8" w:space="0"/>
              <w:bottom w:val="single" w:color="auto" w:sz="8" w:space="0"/>
              <w:right w:val="single" w:color="000000" w:sz="8" w:space="0"/>
            </w:tcBorders>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最高100分</w:t>
            </w:r>
          </w:p>
        </w:tc>
        <w:tc>
          <w:tcPr>
            <w:tcW w:w="2133" w:type="dxa"/>
            <w:gridSpan w:val="7"/>
            <w:tcBorders>
              <w:top w:val="single" w:color="auto" w:sz="8" w:space="0"/>
              <w:left w:val="nil"/>
              <w:bottom w:val="single" w:color="auto" w:sz="8" w:space="0"/>
              <w:right w:val="single" w:color="auto" w:sz="4" w:space="0"/>
            </w:tcBorders>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
    <w:p/>
    <w:p/>
    <w:p/>
    <w:p>
      <w:pPr>
        <w:rPr>
          <w:rFonts w:hint="eastAsia"/>
        </w:rPr>
      </w:pPr>
    </w:p>
    <w:p>
      <w:bookmarkStart w:id="0" w:name="_GoBack"/>
      <w:bookmarkEnd w:id="0"/>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7E3B"/>
    <w:rsid w:val="0000102D"/>
    <w:rsid w:val="000C4E02"/>
    <w:rsid w:val="00327DE3"/>
    <w:rsid w:val="00487E4A"/>
    <w:rsid w:val="00595011"/>
    <w:rsid w:val="005B7E3B"/>
    <w:rsid w:val="006F79B4"/>
    <w:rsid w:val="0072420B"/>
    <w:rsid w:val="009A5F49"/>
    <w:rsid w:val="00E1303A"/>
    <w:rsid w:val="3746561B"/>
    <w:rsid w:val="48063615"/>
    <w:rsid w:val="4D34679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871</Words>
  <Characters>4966</Characters>
  <Lines>41</Lines>
  <Paragraphs>11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2020-03-06T07:22:00Z</dcterms:created>
  <dc:creator>杨潞桦</dc:creator>
  <cp:lastModifiedBy>Administrator</cp:lastModifiedBy>
  <dcterms:modified xsi:type="dcterms:W3CDTF">2021-03-24T03:19:53Z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