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24" w:type="dxa"/>
        <w:jc w:val="center"/>
        <w:tblInd w:w="-689" w:type="dxa"/>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4"/>
      </w:tblGrid>
      <w:tr>
        <w:tblPrEx>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jc w:val="center"/>
        </w:trPr>
        <w:tc>
          <w:tcPr>
            <w:tcW w:w="9624" w:type="dxa"/>
            <w:vAlign w:val="top"/>
          </w:tcPr>
          <w:p>
            <w:pPr>
              <w:pStyle w:val="2"/>
              <w:numPr>
                <w:ilvl w:val="0"/>
                <w:numId w:val="0"/>
              </w:numPr>
              <w:autoSpaceDE w:val="0"/>
              <w:autoSpaceDN w:val="0"/>
              <w:snapToGrid w:val="0"/>
              <w:rPr>
                <w:rFonts w:eastAsia="方正小标宋简体"/>
                <w:b/>
                <w:bCs/>
                <w:color w:val="FF0000"/>
                <w:w w:val="90"/>
                <w:kern w:val="72"/>
                <w:sz w:val="72"/>
              </w:rPr>
            </w:pPr>
            <w:bookmarkStart w:id="0" w:name="xxqqWholeArea"/>
            <w:r>
              <w:rPr>
                <w:rFonts w:eastAsia="方正小标宋简体"/>
                <w:b/>
                <w:bCs/>
                <w:color w:val="FF0000"/>
                <w:spacing w:val="232"/>
                <w:kern w:val="0"/>
                <w:sz w:val="72"/>
                <w:szCs w:val="72"/>
                <w:fitText w:val="9038" w:id="0"/>
              </w:rPr>
              <w:t>东莞市科学技术</w:t>
            </w:r>
            <w:r>
              <w:rPr>
                <w:rFonts w:eastAsia="方正小标宋简体"/>
                <w:b/>
                <w:bCs/>
                <w:color w:val="FF0000"/>
                <w:spacing w:val="4"/>
                <w:kern w:val="0"/>
                <w:sz w:val="72"/>
                <w:szCs w:val="72"/>
                <w:fitText w:val="9038" w:id="0"/>
              </w:rPr>
              <w:t>局</w:t>
            </w:r>
          </w:p>
        </w:tc>
      </w:tr>
      <w:bookmarkEnd w:id="0"/>
    </w:tbl>
    <w:p>
      <w:pPr>
        <w:keepNext w:val="0"/>
        <w:keepLines w:val="0"/>
        <w:pageBreakBefore w:val="0"/>
        <w:widowControl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rPr>
      </w:pPr>
    </w:p>
    <w:p>
      <w:pPr>
        <w:spacing w:line="720" w:lineRule="exact"/>
        <w:jc w:val="center"/>
        <w:rPr>
          <w:rFonts w:ascii="Times New Roman" w:hAnsi="Times New Roman" w:eastAsia="方正小标宋简体"/>
          <w:sz w:val="44"/>
          <w:szCs w:val="44"/>
        </w:rPr>
      </w:pPr>
      <w:r>
        <w:rPr>
          <w:rFonts w:ascii="Times New Roman" w:hAnsi="Times New Roman" w:eastAsia="方正小标宋简体"/>
          <w:sz w:val="44"/>
          <w:szCs w:val="44"/>
        </w:rPr>
        <w:t>东莞市</w:t>
      </w:r>
      <w:r>
        <w:rPr>
          <w:rFonts w:hint="eastAsia" w:ascii="Times New Roman" w:hAnsi="Times New Roman" w:eastAsia="方正小标宋简体"/>
          <w:sz w:val="44"/>
          <w:szCs w:val="44"/>
          <w:lang w:eastAsia="zh-CN"/>
        </w:rPr>
        <w:t>科学技术局</w:t>
      </w:r>
      <w:r>
        <w:rPr>
          <w:rFonts w:ascii="Times New Roman" w:hAnsi="Times New Roman" w:eastAsia="方正小标宋简体"/>
          <w:sz w:val="44"/>
          <w:szCs w:val="44"/>
        </w:rPr>
        <w:t>2018年以来行政许可</w:t>
      </w:r>
    </w:p>
    <w:p>
      <w:pPr>
        <w:spacing w:line="720" w:lineRule="exact"/>
        <w:jc w:val="center"/>
        <w:rPr>
          <w:rFonts w:ascii="Times New Roman" w:hAnsi="Times New Roman" w:eastAsia="方正小标宋简体"/>
          <w:sz w:val="44"/>
          <w:szCs w:val="44"/>
        </w:rPr>
      </w:pPr>
      <w:r>
        <w:rPr>
          <w:rFonts w:ascii="Times New Roman" w:hAnsi="Times New Roman" w:eastAsia="方正小标宋简体"/>
          <w:sz w:val="44"/>
          <w:szCs w:val="44"/>
        </w:rPr>
        <w:t>实施和监督管理情况报告</w:t>
      </w:r>
    </w:p>
    <w:p>
      <w:pPr>
        <w:keepNext w:val="0"/>
        <w:keepLines w:val="0"/>
        <w:pageBreakBefore w:val="0"/>
        <w:widowControl w:val="0"/>
        <w:kinsoku/>
        <w:wordWrap/>
        <w:overflowPunct/>
        <w:topLinePunct w:val="0"/>
        <w:bidi w:val="0"/>
        <w:spacing w:line="58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80" w:lineRule="exact"/>
        <w:ind w:firstLine="624" w:firstLineChars="200"/>
        <w:textAlignment w:val="auto"/>
        <w:rPr>
          <w:rFonts w:ascii="黑体" w:hAnsi="黑体" w:eastAsia="黑体" w:cs="黑体"/>
        </w:rPr>
      </w:pPr>
      <w:r>
        <w:rPr>
          <w:rFonts w:hint="eastAsia" w:ascii="黑体" w:hAnsi="黑体" w:eastAsia="黑体" w:cs="黑体"/>
        </w:rPr>
        <w:t>一、基本情况</w:t>
      </w:r>
    </w:p>
    <w:p>
      <w:pPr>
        <w:keepNext w:val="0"/>
        <w:keepLines w:val="0"/>
        <w:pageBreakBefore w:val="0"/>
        <w:widowControl w:val="0"/>
        <w:kinsoku/>
        <w:wordWrap/>
        <w:overflowPunct/>
        <w:topLinePunct w:val="0"/>
        <w:bidi w:val="0"/>
        <w:spacing w:line="580" w:lineRule="exact"/>
        <w:ind w:firstLine="624"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（一）行政审批改革任务落实情况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24" w:firstLineChars="200"/>
        <w:textAlignment w:val="auto"/>
        <w:outlineLvl w:val="9"/>
        <w:rPr>
          <w:rFonts w:hint="eastAsia"/>
          <w:b/>
          <w:bCs/>
          <w:lang w:eastAsia="zh-CN"/>
        </w:rPr>
      </w:pPr>
      <w:r>
        <w:rPr>
          <w:rFonts w:hint="eastAsia" w:ascii="Times New Roman" w:hAnsi="Times New Roman" w:cs="Times New Roman"/>
          <w:b/>
          <w:bCs/>
          <w:lang w:val="en-US" w:eastAsia="zh-CN"/>
        </w:rPr>
        <w:t>1.</w:t>
      </w:r>
      <w:r>
        <w:rPr>
          <w:rFonts w:hint="default" w:ascii="Times New Roman" w:hAnsi="Times New Roman" w:cs="Times New Roman"/>
          <w:b/>
          <w:bCs/>
        </w:rPr>
        <w:t>201</w:t>
      </w:r>
      <w:r>
        <w:rPr>
          <w:rFonts w:hint="eastAsia" w:ascii="Times New Roman" w:hAnsi="Times New Roman" w:cs="Times New Roman"/>
          <w:b/>
          <w:bCs/>
          <w:lang w:val="en-US" w:eastAsia="zh-CN"/>
        </w:rPr>
        <w:t>8</w:t>
      </w:r>
      <w:r>
        <w:rPr>
          <w:b/>
          <w:bCs/>
        </w:rPr>
        <w:t>年</w:t>
      </w:r>
      <w:r>
        <w:rPr>
          <w:rFonts w:hint="eastAsia"/>
          <w:b/>
          <w:bCs/>
          <w:lang w:eastAsia="zh-CN"/>
        </w:rPr>
        <w:t>以来</w:t>
      </w:r>
      <w:r>
        <w:rPr>
          <w:rFonts w:hint="eastAsia"/>
          <w:b/>
          <w:bCs/>
        </w:rPr>
        <w:t>市本</w:t>
      </w:r>
      <w:r>
        <w:rPr>
          <w:b/>
          <w:bCs/>
        </w:rPr>
        <w:t>级取消、下放行政许可事项落实情况</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24" w:firstLineChars="200"/>
        <w:jc w:val="left"/>
        <w:textAlignment w:val="auto"/>
        <w:outlineLvl w:val="9"/>
        <w:rPr>
          <w:rFonts w:hint="eastAsia" w:ascii="Times New Roman" w:hAnsi="Times New Roman" w:cs="Times New Roman"/>
          <w:kern w:val="0"/>
          <w:sz w:val="32"/>
          <w:szCs w:val="32"/>
          <w:lang w:val="en-US" w:eastAsia="zh-CN"/>
        </w:rPr>
      </w:pPr>
      <w:r>
        <w:rPr>
          <w:rFonts w:hint="eastAsia"/>
          <w:b w:val="0"/>
          <w:bCs w:val="0"/>
          <w:lang w:eastAsia="zh-CN"/>
        </w:rPr>
        <w:t>根</w:t>
      </w:r>
      <w:r>
        <w:rPr>
          <w:rFonts w:hint="default" w:ascii="Times New Roman" w:hAnsi="Times New Roman" w:cs="Times New Roman"/>
          <w:b w:val="0"/>
          <w:bCs w:val="0"/>
          <w:lang w:eastAsia="zh-CN"/>
        </w:rPr>
        <w:t>据</w:t>
      </w:r>
      <w:r>
        <w:rPr>
          <w:rFonts w:hint="default" w:ascii="Times New Roman" w:hAnsi="Times New Roman" w:eastAsia="仿宋_GB2312" w:cs="Times New Roman"/>
          <w:kern w:val="0"/>
          <w:sz w:val="32"/>
          <w:szCs w:val="32"/>
        </w:rPr>
        <w:t>《关于在园区、镇（街道）开展市级机构改革衔接工作的通知》（东机构改革办〔2019〕12号）</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《东莞市人民政府关于印发&lt;关于功能区统筹事权划分的实施方案（试行）&gt;的通知》（东府〔2019〕34号）</w:t>
      </w:r>
      <w:r>
        <w:rPr>
          <w:rFonts w:hint="eastAsia" w:ascii="Times New Roman" w:hAnsi="Times New Roman" w:cs="Times New Roman"/>
          <w:kern w:val="0"/>
          <w:sz w:val="32"/>
          <w:szCs w:val="32"/>
          <w:lang w:eastAsia="zh-CN"/>
        </w:rPr>
        <w:t>，</w:t>
      </w:r>
      <w:r>
        <w:rPr>
          <w:rFonts w:hint="eastAsia" w:ascii="Times New Roman" w:hAnsi="Times New Roman" w:cs="Times New Roman"/>
          <w:kern w:val="0"/>
          <w:sz w:val="32"/>
          <w:szCs w:val="32"/>
          <w:lang w:val="en-US" w:eastAsia="zh-CN"/>
        </w:rPr>
        <w:t>2018年我局无新增下放或收回的政务服务事项，除因机构改革划转出去的知识产权事项，我局目前共有8项政务服务事项下放到镇街，均是事项的初审权。其中，下放事项无行政许可事项。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textAlignment w:val="auto"/>
        <w:outlineLvl w:val="9"/>
        <w:rPr>
          <w:rFonts w:ascii="Times New Roman" w:hAnsi="Times New Roman"/>
          <w:b/>
          <w:bCs/>
        </w:rPr>
      </w:pPr>
      <w:r>
        <w:rPr>
          <w:rFonts w:hint="eastAsia" w:ascii="Times New Roman" w:hAnsi="Times New Roman"/>
          <w:b/>
          <w:bCs/>
          <w:lang w:val="en-US" w:eastAsia="zh-CN"/>
        </w:rPr>
        <w:t>2.</w:t>
      </w:r>
      <w:r>
        <w:rPr>
          <w:rFonts w:ascii="Times New Roman" w:hAnsi="Times New Roman"/>
          <w:b/>
          <w:bCs/>
        </w:rPr>
        <w:t>行政许可事项标准实施情况。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24" w:firstLineChars="200"/>
        <w:jc w:val="left"/>
        <w:textAlignment w:val="auto"/>
        <w:outlineLvl w:val="9"/>
        <w:rPr>
          <w:rFonts w:hint="eastAsia" w:ascii="仿宋_GB2312"/>
          <w:lang w:eastAsia="zh-CN"/>
        </w:rPr>
      </w:pPr>
      <w:r>
        <w:rPr>
          <w:rFonts w:hint="eastAsia" w:ascii="Times New Roman" w:hAnsi="Times New Roman"/>
          <w:b w:val="0"/>
          <w:bCs w:val="0"/>
          <w:lang w:val="en-US" w:eastAsia="zh-CN"/>
        </w:rPr>
        <w:t>2018年，我局无行政许可事项。2019年3月因机构改革事项调整，我局新增“外国人来华工作许可”（机构改革之前隶属东莞市人力资源局）一项行政许可事项。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24" w:firstLineChars="200"/>
        <w:jc w:val="left"/>
        <w:textAlignment w:val="auto"/>
        <w:outlineLvl w:val="9"/>
        <w:rPr>
          <w:rFonts w:hint="eastAsia" w:ascii="Times New Roman" w:hAnsi="Times New Roman"/>
          <w:b/>
          <w:bCs/>
          <w:lang w:eastAsia="zh-CN"/>
        </w:rPr>
      </w:pPr>
      <w:r>
        <w:rPr>
          <w:rFonts w:ascii="Times New Roman" w:hAnsi="Times New Roman"/>
          <w:b/>
          <w:bCs/>
        </w:rPr>
        <w:t>3.2018年以来市本级清理规范行政审批中介服务事项落实情况</w:t>
      </w:r>
      <w:r>
        <w:rPr>
          <w:rFonts w:hint="eastAsia" w:ascii="Times New Roman" w:hAnsi="Times New Roman"/>
          <w:b/>
          <w:bCs/>
          <w:lang w:eastAsia="zh-CN"/>
        </w:rPr>
        <w:t>。</w:t>
      </w:r>
    </w:p>
    <w:p>
      <w:pPr>
        <w:spacing w:line="580" w:lineRule="exact"/>
        <w:ind w:firstLine="624" w:firstLineChars="200"/>
      </w:pPr>
      <w:r>
        <w:rPr>
          <w:rFonts w:hint="eastAsia"/>
        </w:rPr>
        <w:t>经梳理，我局</w:t>
      </w:r>
      <w:r>
        <w:rPr>
          <w:rFonts w:hint="eastAsia"/>
          <w:lang w:eastAsia="zh-CN"/>
        </w:rPr>
        <w:t>无中介服务事项</w:t>
      </w:r>
      <w:r>
        <w:rPr>
          <w:rFonts w:hint="eastAsia"/>
          <w:lang w:val="en-US" w:eastAsia="zh-CN"/>
        </w:rPr>
        <w:t>,</w:t>
      </w:r>
      <w:r>
        <w:rPr>
          <w:rFonts w:hint="eastAsia"/>
          <w:color w:val="000000"/>
          <w:szCs w:val="32"/>
        </w:rPr>
        <w:t>没有与行政职能挂钩且无法定依据的中介服务收费情况。</w:t>
      </w:r>
    </w:p>
    <w:p>
      <w:pPr>
        <w:keepNext w:val="0"/>
        <w:keepLines w:val="0"/>
        <w:pageBreakBefore w:val="0"/>
        <w:widowControl w:val="0"/>
        <w:kinsoku/>
        <w:wordWrap/>
        <w:overflowPunct/>
        <w:topLinePunct w:val="0"/>
        <w:bidi w:val="0"/>
        <w:spacing w:line="580" w:lineRule="exact"/>
        <w:ind w:firstLine="624" w:firstLineChars="200"/>
        <w:textAlignment w:val="auto"/>
        <w:rPr>
          <w:rFonts w:ascii="Times New Roman" w:hAnsi="Times New Roman" w:eastAsia="楷体_GB2312"/>
          <w:b/>
          <w:bCs w:val="0"/>
        </w:rPr>
      </w:pPr>
      <w:r>
        <w:rPr>
          <w:rFonts w:ascii="Times New Roman" w:hAnsi="Times New Roman" w:eastAsia="楷体_GB2312"/>
          <w:b/>
          <w:bCs w:val="0"/>
        </w:rPr>
        <w:t>（二）行政许可事项实施情况。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24" w:firstLineChars="200"/>
        <w:jc w:val="left"/>
        <w:textAlignment w:val="auto"/>
        <w:outlineLvl w:val="9"/>
        <w:rPr>
          <w:rFonts w:ascii="Times New Roman" w:hAnsi="Times New Roman"/>
          <w:b/>
          <w:bCs/>
          <w:color w:val="000000"/>
        </w:rPr>
      </w:pPr>
      <w:r>
        <w:rPr>
          <w:rFonts w:hint="eastAsia" w:ascii="Times New Roman" w:hAnsi="Times New Roman"/>
          <w:b/>
          <w:bCs/>
          <w:color w:val="000000"/>
          <w:lang w:val="en-US" w:eastAsia="zh-CN"/>
        </w:rPr>
        <w:t>1</w:t>
      </w:r>
      <w:r>
        <w:rPr>
          <w:rFonts w:ascii="Times New Roman" w:hAnsi="Times New Roman"/>
          <w:b/>
          <w:bCs/>
          <w:color w:val="000000"/>
        </w:rPr>
        <w:t>.网上办理情况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24" w:firstLineChars="200"/>
        <w:jc w:val="left"/>
        <w:textAlignment w:val="auto"/>
        <w:outlineLvl w:val="9"/>
        <w:rPr>
          <w:rFonts w:hint="eastAsia" w:ascii="Times New Roman" w:hAnsi="Times New Roman"/>
          <w:b w:val="0"/>
          <w:bCs w:val="0"/>
          <w:color w:val="000000"/>
          <w:lang w:val="en-US" w:eastAsia="zh-CN"/>
        </w:rPr>
      </w:pPr>
      <w:r>
        <w:rPr>
          <w:rFonts w:hint="eastAsia" w:ascii="Times New Roman" w:hAnsi="Times New Roman"/>
          <w:b w:val="0"/>
          <w:bCs w:val="0"/>
          <w:color w:val="000000"/>
          <w:lang w:val="en-US" w:eastAsia="zh-CN"/>
        </w:rPr>
        <w:t>目前“外国人来华工作许可”已纳入到广东政务服务网，市民可在网上申请办理。但是由于该事项需要现场核对原件资料因此尚未实现全流程网上办理。</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jc w:val="left"/>
        <w:textAlignment w:val="auto"/>
        <w:outlineLvl w:val="9"/>
        <w:rPr>
          <w:rFonts w:hint="eastAsia" w:ascii="Times New Roman" w:hAnsi="Times New Roman" w:eastAsia="仿宋_GB2312"/>
          <w:b/>
          <w:bCs/>
          <w:lang w:val="en-US" w:eastAsia="zh-CN"/>
        </w:rPr>
      </w:pPr>
      <w:r>
        <w:rPr>
          <w:rFonts w:hint="eastAsia" w:ascii="Times New Roman" w:hAnsi="Times New Roman"/>
          <w:b/>
          <w:bCs/>
          <w:lang w:val="en-US" w:eastAsia="zh-CN"/>
        </w:rPr>
        <w:t>2.</w:t>
      </w:r>
      <w:r>
        <w:rPr>
          <w:rFonts w:ascii="Times New Roman" w:hAnsi="Times New Roman"/>
          <w:b/>
          <w:bCs/>
        </w:rPr>
        <w:t>事项办结情况。</w:t>
      </w:r>
      <w:r>
        <w:rPr>
          <w:rFonts w:hint="eastAsia" w:ascii="Times New Roman" w:hAnsi="Times New Roman"/>
          <w:b/>
          <w:bCs/>
          <w:lang w:val="en-US" w:eastAsia="zh-CN"/>
        </w:rPr>
        <w:t xml:space="preserve">                                                 </w:t>
      </w:r>
    </w:p>
    <w:p>
      <w:pPr>
        <w:keepNext w:val="0"/>
        <w:keepLines w:val="0"/>
        <w:pageBreakBefore w:val="0"/>
        <w:widowControl w:val="0"/>
        <w:kinsoku/>
        <w:wordWrap/>
        <w:overflowPunct/>
        <w:topLinePunct w:val="0"/>
        <w:bidi w:val="0"/>
        <w:spacing w:line="580" w:lineRule="exact"/>
        <w:ind w:firstLine="624" w:firstLineChars="200"/>
        <w:textAlignment w:val="auto"/>
        <w:rPr>
          <w:rFonts w:hint="eastAsia"/>
          <w:lang w:val="en-US" w:eastAsia="zh-CN"/>
        </w:rPr>
      </w:pPr>
      <w:r>
        <w:rPr>
          <w:rFonts w:hint="eastAsia" w:ascii="Times New Roman" w:hAnsi="Times New Roman"/>
          <w:b w:val="0"/>
          <w:bCs w:val="0"/>
          <w:lang w:val="en-US" w:eastAsia="zh-CN"/>
        </w:rPr>
        <w:t>2019年4月1日至2019年6月30日共收到申请2280件，其中受理2254件，不同意（不予批准）7件。办结2255件，其中审批同意2248件，审批不同意（不予批准）7件。不予批准的申请均为不符合外国人引进条件标准。</w:t>
      </w:r>
    </w:p>
    <w:p>
      <w:pPr>
        <w:keepNext w:val="0"/>
        <w:keepLines w:val="0"/>
        <w:pageBreakBefore w:val="0"/>
        <w:widowControl w:val="0"/>
        <w:numPr>
          <w:ilvl w:val="0"/>
          <w:numId w:val="0"/>
        </w:numPr>
        <w:kinsoku/>
        <w:wordWrap/>
        <w:overflowPunct/>
        <w:topLinePunct w:val="0"/>
        <w:bidi w:val="0"/>
        <w:spacing w:line="580" w:lineRule="exact"/>
        <w:ind w:firstLine="624" w:firstLineChars="200"/>
        <w:textAlignment w:val="auto"/>
        <w:rPr>
          <w:rFonts w:ascii="Times New Roman" w:hAnsi="Times New Roman"/>
          <w:b/>
          <w:bCs/>
        </w:rPr>
      </w:pPr>
      <w:r>
        <w:rPr>
          <w:rFonts w:hint="eastAsia" w:ascii="Times New Roman" w:hAnsi="Times New Roman"/>
          <w:b/>
          <w:bCs/>
          <w:lang w:val="en-US" w:eastAsia="zh-CN"/>
        </w:rPr>
        <w:t>3.</w:t>
      </w:r>
      <w:r>
        <w:rPr>
          <w:rFonts w:ascii="Times New Roman" w:hAnsi="Times New Roman"/>
          <w:b/>
          <w:bCs/>
        </w:rPr>
        <w:t>公开公示情况。</w:t>
      </w:r>
    </w:p>
    <w:p>
      <w:pPr>
        <w:keepNext w:val="0"/>
        <w:keepLines w:val="0"/>
        <w:pageBreakBefore w:val="0"/>
        <w:widowControl w:val="0"/>
        <w:numPr>
          <w:ilvl w:val="0"/>
          <w:numId w:val="0"/>
        </w:numPr>
        <w:kinsoku/>
        <w:wordWrap/>
        <w:overflowPunct/>
        <w:topLinePunct w:val="0"/>
        <w:bidi w:val="0"/>
        <w:spacing w:line="580" w:lineRule="exact"/>
        <w:ind w:firstLine="624" w:firstLineChars="200"/>
        <w:textAlignment w:val="auto"/>
        <w:rPr>
          <w:rFonts w:hint="eastAsia" w:eastAsia="仿宋_GB2312"/>
          <w:lang w:eastAsia="zh-CN"/>
        </w:rPr>
      </w:pPr>
      <w:r>
        <w:rPr>
          <w:rFonts w:hint="eastAsia"/>
        </w:rPr>
        <w:t>我局</w:t>
      </w:r>
      <w:r>
        <w:t>在</w:t>
      </w:r>
      <w:r>
        <w:rPr>
          <w:rFonts w:hint="eastAsia"/>
          <w:lang w:eastAsia="zh-CN"/>
        </w:rPr>
        <w:t>广东政务服务网</w:t>
      </w:r>
      <w:r>
        <w:t>公开公示</w:t>
      </w:r>
      <w:r>
        <w:rPr>
          <w:rFonts w:hint="eastAsia"/>
          <w:lang w:eastAsia="zh-CN"/>
        </w:rPr>
        <w:t>“外国人来华工作许可”</w:t>
      </w:r>
      <w:r>
        <w:t>事项的依据、程序、条件、期限、申请材料、收费标准、申请书格式文本、咨询投诉方式等信息</w:t>
      </w:r>
      <w:r>
        <w:rPr>
          <w:rFonts w:hint="eastAsia"/>
          <w:lang w:eastAsia="zh-CN"/>
        </w:rPr>
        <w:t>。</w:t>
      </w:r>
    </w:p>
    <w:p>
      <w:pPr>
        <w:keepNext w:val="0"/>
        <w:keepLines w:val="0"/>
        <w:pageBreakBefore w:val="0"/>
        <w:widowControl w:val="0"/>
        <w:numPr>
          <w:ilvl w:val="0"/>
          <w:numId w:val="0"/>
        </w:numPr>
        <w:kinsoku/>
        <w:wordWrap/>
        <w:overflowPunct/>
        <w:topLinePunct w:val="0"/>
        <w:bidi w:val="0"/>
        <w:spacing w:line="580" w:lineRule="exact"/>
        <w:ind w:left="0" w:leftChars="0" w:firstLine="618" w:firstLineChars="198"/>
        <w:textAlignment w:val="auto"/>
        <w:rPr>
          <w:rFonts w:ascii="Times New Roman" w:hAnsi="Times New Roman" w:eastAsia="楷体_GB2312"/>
          <w:b/>
          <w:bCs w:val="0"/>
        </w:rPr>
      </w:pPr>
      <w:r>
        <w:rPr>
          <w:rFonts w:ascii="Times New Roman" w:hAnsi="Times New Roman" w:eastAsia="楷体_GB2312"/>
          <w:b/>
          <w:bCs w:val="0"/>
        </w:rPr>
        <w:t>（三）加强事中事后监管情况。</w:t>
      </w:r>
    </w:p>
    <w:p>
      <w:pPr>
        <w:keepNext w:val="0"/>
        <w:keepLines w:val="0"/>
        <w:pageBreakBefore w:val="0"/>
        <w:widowControl w:val="0"/>
        <w:kinsoku/>
        <w:wordWrap/>
        <w:overflowPunct/>
        <w:topLinePunct w:val="0"/>
        <w:bidi w:val="0"/>
        <w:spacing w:line="580" w:lineRule="exact"/>
        <w:ind w:firstLine="624" w:firstLineChars="200"/>
        <w:textAlignment w:val="auto"/>
        <w:rPr>
          <w:rFonts w:ascii="Times New Roman" w:hAnsi="Times New Roman"/>
          <w:b/>
          <w:bCs/>
        </w:rPr>
      </w:pPr>
      <w:r>
        <w:rPr>
          <w:rFonts w:hint="eastAsia" w:ascii="Times New Roman" w:hAnsi="Times New Roman"/>
          <w:b/>
          <w:bCs/>
          <w:lang w:val="en-US" w:eastAsia="zh-CN"/>
        </w:rPr>
        <w:t xml:space="preserve"> </w:t>
      </w:r>
      <w:r>
        <w:rPr>
          <w:rFonts w:hint="eastAsia" w:ascii="Times New Roman" w:hAnsi="Times New Roman"/>
          <w:b w:val="0"/>
          <w:bCs w:val="0"/>
          <w:lang w:val="en-US" w:eastAsia="zh-CN"/>
        </w:rPr>
        <w:t>2019年4月以来</w:t>
      </w:r>
      <w:r>
        <w:rPr>
          <w:rFonts w:hint="eastAsia" w:ascii="Times New Roman" w:hAnsi="Times New Roman" w:eastAsia="仿宋_GB2312" w:cs="Times New Roman"/>
          <w:color w:val="000000"/>
          <w:sz w:val="31"/>
          <w:szCs w:val="31"/>
        </w:rPr>
        <w:t>开展</w:t>
      </w:r>
      <w:r>
        <w:rPr>
          <w:rFonts w:ascii="Times New Roman" w:hAnsi="Times New Roman" w:eastAsia="仿宋_GB2312" w:cs="Times New Roman"/>
          <w:color w:val="000000"/>
          <w:sz w:val="31"/>
          <w:szCs w:val="31"/>
        </w:rPr>
        <w:t>监管</w:t>
      </w:r>
      <w:r>
        <w:rPr>
          <w:rFonts w:hint="eastAsia" w:ascii="Times New Roman" w:hAnsi="Times New Roman" w:eastAsia="仿宋_GB2312" w:cs="Times New Roman"/>
          <w:color w:val="000000"/>
          <w:sz w:val="31"/>
          <w:szCs w:val="31"/>
        </w:rPr>
        <w:t>2280人次</w:t>
      </w:r>
      <w:r>
        <w:rPr>
          <w:rFonts w:ascii="Times New Roman" w:hAnsi="Times New Roman" w:eastAsia="仿宋_GB2312" w:cs="Times New Roman"/>
          <w:color w:val="000000"/>
          <w:sz w:val="31"/>
          <w:szCs w:val="31"/>
        </w:rPr>
        <w:t>，监管覆盖率为</w:t>
      </w:r>
      <w:r>
        <w:rPr>
          <w:rFonts w:hint="eastAsia" w:ascii="Times New Roman" w:hAnsi="Times New Roman" w:eastAsia="仿宋_GB2312" w:cs="Times New Roman"/>
          <w:color w:val="000000"/>
          <w:sz w:val="31"/>
          <w:szCs w:val="31"/>
        </w:rPr>
        <w:t>100</w:t>
      </w:r>
      <w:r>
        <w:rPr>
          <w:rFonts w:ascii="Times New Roman" w:hAnsi="Times New Roman" w:eastAsia="仿宋_GB2312" w:cs="Times New Roman"/>
          <w:color w:val="000000"/>
          <w:sz w:val="31"/>
          <w:szCs w:val="31"/>
        </w:rPr>
        <w:t>%</w:t>
      </w:r>
      <w:r>
        <w:rPr>
          <w:rFonts w:hint="eastAsia" w:ascii="Times New Roman" w:hAnsi="Times New Roman" w:eastAsia="仿宋_GB2312" w:cs="Times New Roman"/>
          <w:color w:val="000000"/>
          <w:sz w:val="31"/>
          <w:szCs w:val="31"/>
        </w:rPr>
        <w:t>。</w:t>
      </w:r>
      <w:r>
        <w:rPr>
          <w:rFonts w:hint="eastAsia" w:ascii="Times New Roman" w:hAnsi="Times New Roman"/>
          <w:b w:val="0"/>
          <w:bCs w:val="0"/>
          <w:lang w:eastAsia="zh-CN"/>
        </w:rPr>
        <w:t>外国人来华工作许可事项有</w:t>
      </w:r>
      <w:r>
        <w:rPr>
          <w:rFonts w:hint="eastAsia" w:ascii="Times New Roman" w:hAnsi="Times New Roman"/>
          <w:b w:val="0"/>
          <w:bCs w:val="0"/>
        </w:rPr>
        <w:t>明确事项实施的工作职责、工作流程、工作要求</w:t>
      </w:r>
      <w:r>
        <w:rPr>
          <w:rFonts w:hint="eastAsia" w:ascii="Times New Roman" w:hAnsi="Times New Roman"/>
          <w:b w:val="0"/>
          <w:bCs w:val="0"/>
          <w:lang w:eastAsia="zh-CN"/>
        </w:rPr>
        <w:t>。采用</w:t>
      </w:r>
      <w:r>
        <w:rPr>
          <w:rFonts w:hint="eastAsia" w:ascii="Times New Roman" w:hAnsi="Times New Roman"/>
          <w:b w:val="0"/>
          <w:bCs w:val="0"/>
        </w:rPr>
        <w:t>首问负责、一次性告知</w:t>
      </w:r>
      <w:r>
        <w:rPr>
          <w:rFonts w:hint="eastAsia" w:ascii="Times New Roman" w:hAnsi="Times New Roman"/>
          <w:b w:val="0"/>
          <w:bCs w:val="0"/>
          <w:lang w:eastAsia="zh-CN"/>
        </w:rPr>
        <w:t>等工作要求。</w:t>
      </w:r>
      <w:r>
        <w:rPr>
          <w:rFonts w:hint="eastAsia" w:ascii="Times New Roman" w:hAnsi="Times New Roman"/>
          <w:b w:val="0"/>
          <w:bCs w:val="0"/>
        </w:rPr>
        <w:t>加强对事项申办、受理环节的监督监控，及时发现办理过程中不作为、乱作</w:t>
      </w:r>
      <w:r>
        <w:rPr>
          <w:rFonts w:ascii="Times New Roman" w:hAnsi="Times New Roman"/>
          <w:b w:val="0"/>
          <w:bCs w:val="0"/>
        </w:rPr>
        <w:t>为、慢作为问题，确保服务过程可考核、有追踪、受监督</w:t>
      </w:r>
      <w:r>
        <w:rPr>
          <w:rFonts w:hint="eastAsia" w:ascii="Times New Roman" w:hAnsi="Times New Roman"/>
          <w:b w:val="0"/>
          <w:bCs w:val="0"/>
          <w:lang w:eastAsia="zh-CN"/>
        </w:rPr>
        <w:t>。</w:t>
      </w:r>
    </w:p>
    <w:p>
      <w:pPr>
        <w:keepNext w:val="0"/>
        <w:keepLines w:val="0"/>
        <w:pageBreakBefore w:val="0"/>
        <w:widowControl w:val="0"/>
        <w:kinsoku/>
        <w:wordWrap/>
        <w:overflowPunct/>
        <w:topLinePunct w:val="0"/>
        <w:bidi w:val="0"/>
        <w:spacing w:line="580" w:lineRule="exact"/>
        <w:ind w:firstLine="600"/>
        <w:textAlignment w:val="auto"/>
        <w:rPr>
          <w:rFonts w:ascii="Times New Roman" w:hAnsi="Times New Roman"/>
          <w:b/>
          <w:bCs/>
        </w:rPr>
      </w:pPr>
      <w:r>
        <w:rPr>
          <w:rFonts w:hint="eastAsia" w:ascii="Times New Roman" w:hAnsi="Times New Roman" w:cs="Times New Roman"/>
          <w:color w:val="000000"/>
          <w:sz w:val="31"/>
          <w:szCs w:val="31"/>
          <w:lang w:eastAsia="zh-CN"/>
        </w:rPr>
        <w:t>同时</w:t>
      </w:r>
      <w:r>
        <w:rPr>
          <w:rFonts w:ascii="Times New Roman" w:hAnsi="Times New Roman" w:eastAsia="仿宋_GB2312" w:cs="Times New Roman"/>
          <w:color w:val="000000"/>
          <w:sz w:val="31"/>
          <w:szCs w:val="31"/>
        </w:rPr>
        <w:t>积极与市教育部门、公安部门进行业务交流，定期</w:t>
      </w:r>
      <w:r>
        <w:rPr>
          <w:rFonts w:hint="eastAsia" w:ascii="Times New Roman" w:hAnsi="Times New Roman" w:eastAsia="仿宋_GB2312" w:cs="Times New Roman"/>
          <w:color w:val="000000"/>
          <w:sz w:val="31"/>
          <w:szCs w:val="31"/>
        </w:rPr>
        <w:t>交换</w:t>
      </w:r>
      <w:r>
        <w:rPr>
          <w:rFonts w:ascii="Times New Roman" w:hAnsi="Times New Roman" w:eastAsia="仿宋_GB2312" w:cs="Times New Roman"/>
          <w:color w:val="000000"/>
          <w:sz w:val="31"/>
          <w:szCs w:val="31"/>
        </w:rPr>
        <w:t>信息，报送相关数据。</w:t>
      </w:r>
      <w:r>
        <w:rPr>
          <w:rFonts w:hint="eastAsia" w:ascii="Times New Roman" w:hAnsi="Times New Roman" w:eastAsia="仿宋_GB2312" w:cs="Times New Roman"/>
          <w:color w:val="000000"/>
          <w:sz w:val="31"/>
          <w:szCs w:val="31"/>
        </w:rPr>
        <w:t>并协助</w:t>
      </w:r>
      <w:r>
        <w:rPr>
          <w:rFonts w:ascii="Times New Roman" w:hAnsi="Times New Roman" w:eastAsia="仿宋_GB2312" w:cs="Times New Roman"/>
          <w:color w:val="000000"/>
          <w:sz w:val="31"/>
          <w:szCs w:val="31"/>
        </w:rPr>
        <w:t>公安部门</w:t>
      </w:r>
      <w:r>
        <w:rPr>
          <w:rFonts w:hint="eastAsia" w:ascii="Times New Roman" w:hAnsi="Times New Roman" w:eastAsia="仿宋_GB2312" w:cs="Times New Roman"/>
          <w:color w:val="000000"/>
          <w:sz w:val="31"/>
          <w:szCs w:val="31"/>
        </w:rPr>
        <w:t>开展</w:t>
      </w:r>
      <w:r>
        <w:rPr>
          <w:rFonts w:ascii="Times New Roman" w:hAnsi="Times New Roman" w:eastAsia="仿宋_GB2312" w:cs="Times New Roman"/>
          <w:color w:val="000000"/>
          <w:sz w:val="31"/>
          <w:szCs w:val="31"/>
        </w:rPr>
        <w:t>反恐信息收集</w:t>
      </w:r>
      <w:r>
        <w:rPr>
          <w:rFonts w:hint="eastAsia" w:ascii="Times New Roman" w:hAnsi="Times New Roman" w:eastAsia="仿宋_GB2312" w:cs="Times New Roman"/>
          <w:color w:val="000000"/>
          <w:sz w:val="31"/>
          <w:szCs w:val="31"/>
        </w:rPr>
        <w:t>、</w:t>
      </w:r>
      <w:r>
        <w:rPr>
          <w:rFonts w:ascii="Times New Roman" w:hAnsi="Times New Roman" w:eastAsia="仿宋_GB2312" w:cs="Times New Roman"/>
          <w:color w:val="000000"/>
          <w:sz w:val="31"/>
          <w:szCs w:val="31"/>
        </w:rPr>
        <w:t>推进“</w:t>
      </w:r>
      <w:r>
        <w:rPr>
          <w:rFonts w:hint="eastAsia" w:ascii="Times New Roman" w:hAnsi="Times New Roman" w:eastAsia="仿宋_GB2312" w:cs="Times New Roman"/>
          <w:color w:val="000000"/>
          <w:sz w:val="31"/>
          <w:szCs w:val="31"/>
        </w:rPr>
        <w:t>三</w:t>
      </w:r>
      <w:r>
        <w:rPr>
          <w:rFonts w:ascii="Times New Roman" w:hAnsi="Times New Roman" w:eastAsia="仿宋_GB2312" w:cs="Times New Roman"/>
          <w:color w:val="000000"/>
          <w:sz w:val="31"/>
          <w:szCs w:val="31"/>
        </w:rPr>
        <w:t>非”</w:t>
      </w:r>
      <w:r>
        <w:rPr>
          <w:rFonts w:hint="eastAsia" w:ascii="Times New Roman" w:hAnsi="Times New Roman" w:eastAsia="仿宋_GB2312" w:cs="Times New Roman"/>
          <w:color w:val="000000"/>
          <w:sz w:val="31"/>
          <w:szCs w:val="31"/>
        </w:rPr>
        <w:t>外</w:t>
      </w:r>
      <w:r>
        <w:rPr>
          <w:rFonts w:ascii="Times New Roman" w:hAnsi="Times New Roman" w:eastAsia="仿宋_GB2312" w:cs="Times New Roman"/>
          <w:color w:val="000000"/>
          <w:sz w:val="31"/>
          <w:szCs w:val="31"/>
        </w:rPr>
        <w:t>国人治理专项工作。</w:t>
      </w:r>
    </w:p>
    <w:p>
      <w:pPr>
        <w:keepNext w:val="0"/>
        <w:keepLines w:val="0"/>
        <w:pageBreakBefore w:val="0"/>
        <w:widowControl w:val="0"/>
        <w:kinsoku/>
        <w:wordWrap/>
        <w:overflowPunct/>
        <w:topLinePunct w:val="0"/>
        <w:bidi w:val="0"/>
        <w:spacing w:line="580" w:lineRule="exact"/>
        <w:ind w:firstLine="624" w:firstLineChars="200"/>
        <w:textAlignment w:val="auto"/>
        <w:rPr>
          <w:rFonts w:ascii="Times New Roman" w:hAnsi="Times New Roman" w:eastAsia="楷体_GB2312"/>
          <w:bCs/>
        </w:rPr>
      </w:pPr>
      <w:r>
        <w:rPr>
          <w:rFonts w:ascii="Times New Roman" w:hAnsi="Times New Roman" w:eastAsia="楷体_GB2312"/>
          <w:b/>
          <w:bCs w:val="0"/>
        </w:rPr>
        <w:t>（四）创新和优化服务情况</w:t>
      </w:r>
      <w:r>
        <w:rPr>
          <w:rFonts w:ascii="Times New Roman" w:hAnsi="Times New Roman" w:eastAsia="楷体_GB2312"/>
          <w:bCs/>
        </w:rPr>
        <w:t>。</w:t>
      </w:r>
    </w:p>
    <w:p>
      <w:pPr>
        <w:keepNext w:val="0"/>
        <w:keepLines w:val="0"/>
        <w:pageBreakBefore w:val="0"/>
        <w:widowControl w:val="0"/>
        <w:kinsoku/>
        <w:wordWrap/>
        <w:overflowPunct/>
        <w:topLinePunct w:val="0"/>
        <w:bidi w:val="0"/>
        <w:spacing w:line="580" w:lineRule="exact"/>
        <w:ind w:firstLine="624" w:firstLineChars="200"/>
        <w:textAlignment w:val="auto"/>
        <w:rPr>
          <w:rFonts w:ascii="Times New Roman" w:hAnsi="Times New Roman"/>
          <w:b/>
          <w:bCs/>
        </w:rPr>
      </w:pPr>
      <w:r>
        <w:rPr>
          <w:rFonts w:hint="eastAsia" w:ascii="Times New Roman" w:hAnsi="Times New Roman"/>
          <w:b/>
          <w:bCs/>
          <w:lang w:val="en-US" w:eastAsia="zh-CN"/>
        </w:rPr>
        <w:t>1</w:t>
      </w:r>
      <w:r>
        <w:rPr>
          <w:rFonts w:ascii="Times New Roman" w:hAnsi="Times New Roman"/>
          <w:b/>
          <w:bCs/>
        </w:rPr>
        <w:t>.优化办理流程情况。</w:t>
      </w:r>
    </w:p>
    <w:p>
      <w:pPr>
        <w:keepNext w:val="0"/>
        <w:keepLines w:val="0"/>
        <w:pageBreakBefore w:val="0"/>
        <w:widowControl w:val="0"/>
        <w:kinsoku/>
        <w:wordWrap/>
        <w:overflowPunct/>
        <w:topLinePunct w:val="0"/>
        <w:bidi w:val="0"/>
        <w:spacing w:line="580" w:lineRule="exact"/>
        <w:ind w:firstLine="624" w:firstLineChars="200"/>
        <w:textAlignment w:val="auto"/>
        <w:rPr>
          <w:rFonts w:ascii="Times New Roman" w:hAnsi="Times New Roman"/>
          <w:b/>
          <w:bCs/>
        </w:rPr>
      </w:pPr>
      <w:r>
        <w:rPr>
          <w:rFonts w:hint="eastAsia" w:ascii="Times New Roman" w:hAnsi="Times New Roman"/>
          <w:b w:val="0"/>
          <w:bCs w:val="0"/>
        </w:rPr>
        <w:t>整合压减事项的申请、受理、审查、决定等办事环节，优化服务流程，</w:t>
      </w:r>
      <w:r>
        <w:rPr>
          <w:rFonts w:hint="eastAsia" w:ascii="Times New Roman" w:hAnsi="Times New Roman"/>
          <w:b w:val="0"/>
          <w:bCs w:val="0"/>
          <w:lang w:eastAsia="zh-CN"/>
        </w:rPr>
        <w:t>编</w:t>
      </w:r>
      <w:r>
        <w:rPr>
          <w:rFonts w:hint="eastAsia" w:ascii="Times New Roman" w:hAnsi="Times New Roman"/>
          <w:b w:val="0"/>
          <w:bCs w:val="0"/>
        </w:rPr>
        <w:t>制</w:t>
      </w:r>
      <w:r>
        <w:rPr>
          <w:rFonts w:hint="eastAsia" w:ascii="Times New Roman" w:hAnsi="Times New Roman"/>
          <w:b w:val="0"/>
          <w:bCs w:val="0"/>
          <w:lang w:eastAsia="zh-CN"/>
        </w:rPr>
        <w:t>了《外国人来华工作许可服务手册》发放给相关企业，</w:t>
      </w:r>
      <w:r>
        <w:rPr>
          <w:rFonts w:hint="eastAsia" w:ascii="Times New Roman" w:hAnsi="Times New Roman"/>
          <w:b w:val="0"/>
          <w:bCs w:val="0"/>
        </w:rPr>
        <w:t>并</w:t>
      </w:r>
      <w:r>
        <w:rPr>
          <w:rFonts w:hint="eastAsia" w:ascii="Times New Roman" w:hAnsi="Times New Roman"/>
          <w:b w:val="0"/>
          <w:bCs w:val="0"/>
          <w:lang w:eastAsia="zh-CN"/>
        </w:rPr>
        <w:t>在“外国人来华工作东莞业务工作群”</w:t>
      </w:r>
      <w:r>
        <w:rPr>
          <w:rFonts w:hint="eastAsia" w:ascii="Times New Roman" w:hAnsi="Times New Roman"/>
          <w:b w:val="0"/>
          <w:bCs w:val="0"/>
        </w:rPr>
        <w:t>公开办事流程图</w:t>
      </w:r>
      <w:r>
        <w:rPr>
          <w:rFonts w:hint="eastAsia" w:ascii="Times New Roman" w:hAnsi="Times New Roman"/>
          <w:b w:val="0"/>
          <w:bCs w:val="0"/>
          <w:lang w:eastAsia="zh-CN"/>
        </w:rPr>
        <w:t>。《</w:t>
      </w:r>
      <w:r>
        <w:rPr>
          <w:rFonts w:hint="eastAsia" w:ascii="Times New Roman" w:hAnsi="Times New Roman"/>
          <w:b w:val="0"/>
          <w:bCs w:val="0"/>
          <w:lang w:val="en-US" w:eastAsia="zh-CN"/>
        </w:rPr>
        <w:t>外国人来华工作许可</w:t>
      </w:r>
      <w:r>
        <w:rPr>
          <w:rFonts w:hint="eastAsia" w:ascii="Times New Roman" w:hAnsi="Times New Roman"/>
          <w:b w:val="0"/>
          <w:bCs w:val="0"/>
          <w:lang w:eastAsia="zh-CN"/>
        </w:rPr>
        <w:t>》的</w:t>
      </w:r>
      <w:r>
        <w:rPr>
          <w:rFonts w:hint="eastAsia" w:ascii="Times New Roman" w:hAnsi="Times New Roman"/>
          <w:b w:val="0"/>
          <w:bCs w:val="0"/>
        </w:rPr>
        <w:t>行政许可事项</w:t>
      </w:r>
      <w:r>
        <w:rPr>
          <w:rFonts w:hint="eastAsia" w:ascii="Times New Roman" w:hAnsi="Times New Roman"/>
          <w:b w:val="0"/>
          <w:bCs w:val="0"/>
          <w:lang w:eastAsia="zh-CN"/>
        </w:rPr>
        <w:t>采用网上办理预审。</w:t>
      </w:r>
    </w:p>
    <w:p>
      <w:pPr>
        <w:keepNext w:val="0"/>
        <w:keepLines w:val="0"/>
        <w:pageBreakBefore w:val="0"/>
        <w:widowControl w:val="0"/>
        <w:numPr>
          <w:ilvl w:val="0"/>
          <w:numId w:val="0"/>
        </w:numPr>
        <w:kinsoku/>
        <w:wordWrap/>
        <w:overflowPunct/>
        <w:topLinePunct w:val="0"/>
        <w:bidi w:val="0"/>
        <w:spacing w:line="580" w:lineRule="exact"/>
        <w:ind w:leftChars="200"/>
        <w:textAlignment w:val="auto"/>
        <w:rPr>
          <w:rFonts w:ascii="Times New Roman" w:hAnsi="Times New Roman"/>
          <w:b/>
          <w:bCs/>
        </w:rPr>
      </w:pPr>
      <w:r>
        <w:rPr>
          <w:rFonts w:hint="eastAsia" w:ascii="Times New Roman" w:hAnsi="Times New Roman"/>
          <w:b/>
          <w:bCs/>
          <w:lang w:val="en-US" w:eastAsia="zh-CN"/>
        </w:rPr>
        <w:t>2.</w:t>
      </w:r>
      <w:r>
        <w:rPr>
          <w:rFonts w:ascii="Times New Roman" w:hAnsi="Times New Roman"/>
          <w:b/>
          <w:bCs/>
        </w:rPr>
        <w:t>缩短办事时限情况。</w:t>
      </w:r>
    </w:p>
    <w:p>
      <w:pPr>
        <w:keepNext w:val="0"/>
        <w:keepLines w:val="0"/>
        <w:pageBreakBefore w:val="0"/>
        <w:widowControl w:val="0"/>
        <w:kinsoku/>
        <w:wordWrap/>
        <w:overflowPunct/>
        <w:topLinePunct w:val="0"/>
        <w:bidi w:val="0"/>
        <w:spacing w:line="580" w:lineRule="exact"/>
        <w:ind w:firstLine="624"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外国人来华工作许可项实际办理时限全部低于法定办理时限，行政许可事项审批时限压减情况具体如下：</w:t>
      </w:r>
    </w:p>
    <w:p>
      <w:pPr>
        <w:keepNext w:val="0"/>
        <w:keepLines w:val="0"/>
        <w:pageBreakBefore w:val="0"/>
        <w:widowControl w:val="0"/>
        <w:kinsoku/>
        <w:wordWrap/>
        <w:overflowPunct/>
        <w:topLinePunct w:val="0"/>
        <w:bidi w:val="0"/>
        <w:spacing w:line="580" w:lineRule="exact"/>
        <w:ind w:firstLine="624"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网上预审，法定办理时限为5个工作日，目前工作时限为3个工作日；</w:t>
      </w:r>
    </w:p>
    <w:p>
      <w:pPr>
        <w:keepNext w:val="0"/>
        <w:keepLines w:val="0"/>
        <w:pageBreakBefore w:val="0"/>
        <w:widowControl w:val="0"/>
        <w:kinsoku/>
        <w:wordWrap/>
        <w:overflowPunct/>
        <w:topLinePunct w:val="0"/>
        <w:bidi w:val="0"/>
        <w:spacing w:line="580" w:lineRule="exact"/>
        <w:ind w:firstLine="624"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受理，法定办理时限为5个工作日，目前实行现场办结即时发放《外国人来华工作许可受理通知单》或受理结果；</w:t>
      </w:r>
    </w:p>
    <w:p>
      <w:pPr>
        <w:keepNext w:val="0"/>
        <w:keepLines w:val="0"/>
        <w:pageBreakBefore w:val="0"/>
        <w:widowControl w:val="0"/>
        <w:kinsoku/>
        <w:wordWrap/>
        <w:overflowPunct/>
        <w:topLinePunct w:val="0"/>
        <w:bidi w:val="0"/>
        <w:spacing w:line="580" w:lineRule="exact"/>
        <w:ind w:firstLine="624"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审查，法定办理时限为10个工作日，目前工作时限为2个工作日；</w:t>
      </w:r>
    </w:p>
    <w:p>
      <w:pPr>
        <w:keepNext w:val="0"/>
        <w:keepLines w:val="0"/>
        <w:pageBreakBefore w:val="0"/>
        <w:widowControl w:val="0"/>
        <w:kinsoku/>
        <w:wordWrap/>
        <w:overflowPunct/>
        <w:topLinePunct w:val="0"/>
        <w:bidi w:val="0"/>
        <w:spacing w:line="580" w:lineRule="exact"/>
        <w:ind w:firstLine="624"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决定，法定办理时限为10个工作日，目前工作时限为2个工作日。</w:t>
      </w:r>
    </w:p>
    <w:p>
      <w:pPr>
        <w:keepNext w:val="0"/>
        <w:keepLines w:val="0"/>
        <w:pageBreakBefore w:val="0"/>
        <w:widowControl w:val="0"/>
        <w:kinsoku/>
        <w:wordWrap/>
        <w:overflowPunct/>
        <w:topLinePunct w:val="0"/>
        <w:bidi w:val="0"/>
        <w:spacing w:line="580" w:lineRule="exact"/>
        <w:ind w:firstLine="624"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延期、注销业务采用网上预审，其它环节采用即来即办。</w:t>
      </w:r>
    </w:p>
    <w:p>
      <w:pPr>
        <w:keepNext w:val="0"/>
        <w:keepLines w:val="0"/>
        <w:pageBreakBefore w:val="0"/>
        <w:widowControl w:val="0"/>
        <w:kinsoku/>
        <w:wordWrap/>
        <w:overflowPunct/>
        <w:topLinePunct w:val="0"/>
        <w:bidi w:val="0"/>
        <w:spacing w:line="580" w:lineRule="exact"/>
        <w:ind w:firstLine="624" w:firstLineChars="200"/>
        <w:textAlignment w:val="auto"/>
        <w:rPr>
          <w:rFonts w:hint="eastAsia" w:ascii="Times New Roman" w:hAnsi="Times New Roman"/>
          <w:b/>
          <w:bCs/>
          <w:color w:val="FF0000"/>
          <w:lang w:eastAsia="zh-CN"/>
        </w:rPr>
      </w:pPr>
      <w:r>
        <w:rPr>
          <w:rFonts w:ascii="Times New Roman" w:hAnsi="Times New Roman" w:eastAsia="黑体"/>
        </w:rPr>
        <w:t>二、取得成效</w:t>
      </w:r>
    </w:p>
    <w:p>
      <w:pPr>
        <w:keepNext w:val="0"/>
        <w:keepLines w:val="0"/>
        <w:pageBreakBefore w:val="0"/>
        <w:widowControl w:val="0"/>
        <w:kinsoku/>
        <w:wordWrap/>
        <w:overflowPunct/>
        <w:topLinePunct w:val="0"/>
        <w:bidi w:val="0"/>
        <w:spacing w:line="580" w:lineRule="exact"/>
        <w:ind w:firstLine="624" w:firstLineChars="200"/>
        <w:textAlignment w:val="auto"/>
        <w:rPr>
          <w:rFonts w:ascii="Times New Roman" w:hAnsi="Times New Roman" w:eastAsia="黑体"/>
          <w:color w:val="auto"/>
        </w:rPr>
      </w:pPr>
      <w:r>
        <w:rPr>
          <w:rFonts w:hint="eastAsia" w:ascii="Times New Roman" w:hAnsi="Times New Roman"/>
          <w:b w:val="0"/>
          <w:bCs w:val="0"/>
          <w:lang w:val="en-US" w:eastAsia="zh-CN"/>
        </w:rPr>
        <w:t xml:space="preserve"> 外国人来华工作许可审批事项实行网上预审，现场受理，部分业务已经实现了“即来即办”。为方便企业办理业务，开通多条咨询电话线路，开通工作业务群解决企业业务答疑，在局官方网站发布相关工作流程及政策文件。对服务对象咨询、尤其是12345政府服务热线咨询、投诉及建议的问题都能及时作出解释和答复。程序和要求都比较规范，服务对象对相关事项办理也比较熟悉，得到服务对象极高的满意度评价。</w:t>
      </w:r>
    </w:p>
    <w:p>
      <w:pPr>
        <w:keepNext w:val="0"/>
        <w:keepLines w:val="0"/>
        <w:pageBreakBefore w:val="0"/>
        <w:widowControl w:val="0"/>
        <w:kinsoku/>
        <w:wordWrap/>
        <w:overflowPunct/>
        <w:topLinePunct w:val="0"/>
        <w:bidi w:val="0"/>
        <w:spacing w:line="580" w:lineRule="exact"/>
        <w:ind w:firstLine="624" w:firstLineChars="200"/>
        <w:textAlignment w:val="auto"/>
        <w:rPr>
          <w:rFonts w:ascii="Times New Roman" w:hAnsi="Times New Roman" w:eastAsia="黑体"/>
          <w:color w:val="auto"/>
        </w:rPr>
      </w:pPr>
      <w:r>
        <w:rPr>
          <w:rFonts w:hint="eastAsia" w:ascii="Times New Roman" w:hAnsi="Times New Roman" w:eastAsia="黑体"/>
          <w:color w:val="auto"/>
          <w:lang w:eastAsia="zh-CN"/>
        </w:rPr>
        <w:t>三</w:t>
      </w:r>
      <w:r>
        <w:rPr>
          <w:rFonts w:ascii="Times New Roman" w:hAnsi="Times New Roman" w:eastAsia="黑体"/>
          <w:color w:val="auto"/>
        </w:rPr>
        <w:t>、下一步的工作措施及有关意见</w:t>
      </w:r>
    </w:p>
    <w:p>
      <w:pPr>
        <w:spacing w:line="580" w:lineRule="exact"/>
        <w:ind w:firstLine="624" w:firstLineChars="200"/>
        <w:rPr>
          <w:rFonts w:hint="eastAsia" w:ascii="Times New Roman" w:hAnsi="Times New Roman" w:eastAsia="仿宋_GB2312" w:cs="Times New Roman"/>
          <w:color w:val="000000"/>
          <w:sz w:val="31"/>
          <w:szCs w:val="31"/>
        </w:rPr>
      </w:pPr>
      <w:r>
        <w:rPr>
          <w:rFonts w:hint="eastAsia" w:ascii="楷体_GB2312" w:hAnsi="楷体_GB2312" w:eastAsia="楷体_GB2312" w:cs="楷体_GB2312"/>
          <w:color w:val="000000"/>
          <w:sz w:val="32"/>
          <w:szCs w:val="32"/>
          <w:lang w:eastAsia="zh-CN"/>
        </w:rPr>
        <w:t>（一）加强窗口人员队伍建设。</w:t>
      </w:r>
      <w:r>
        <w:rPr>
          <w:rFonts w:hint="eastAsia" w:ascii="Times New Roman" w:hAnsi="Times New Roman" w:eastAsia="仿宋_GB2312" w:cs="Times New Roman"/>
          <w:color w:val="000000"/>
          <w:sz w:val="31"/>
          <w:szCs w:val="31"/>
        </w:rPr>
        <w:t>窗口人员队伍建设关系到进一步推动</w:t>
      </w:r>
      <w:r>
        <w:rPr>
          <w:rFonts w:ascii="Times New Roman" w:hAnsi="Times New Roman" w:eastAsia="仿宋_GB2312" w:cs="Times New Roman"/>
          <w:color w:val="000000"/>
          <w:sz w:val="31"/>
          <w:szCs w:val="31"/>
        </w:rPr>
        <w:t>“</w:t>
      </w:r>
      <w:r>
        <w:rPr>
          <w:rFonts w:hint="eastAsia" w:ascii="Times New Roman" w:hAnsi="Times New Roman" w:eastAsia="仿宋_GB2312" w:cs="Times New Roman"/>
          <w:color w:val="000000"/>
          <w:sz w:val="31"/>
          <w:szCs w:val="31"/>
        </w:rPr>
        <w:t>放</w:t>
      </w:r>
      <w:r>
        <w:rPr>
          <w:rFonts w:ascii="Times New Roman" w:hAnsi="Times New Roman" w:eastAsia="仿宋_GB2312" w:cs="Times New Roman"/>
          <w:color w:val="000000"/>
          <w:sz w:val="31"/>
          <w:szCs w:val="31"/>
        </w:rPr>
        <w:t>管服”</w:t>
      </w:r>
      <w:r>
        <w:rPr>
          <w:rFonts w:hint="eastAsia" w:ascii="Times New Roman" w:hAnsi="Times New Roman" w:eastAsia="仿宋_GB2312" w:cs="Times New Roman"/>
          <w:color w:val="000000"/>
          <w:sz w:val="31"/>
          <w:szCs w:val="31"/>
        </w:rPr>
        <w:t>改革</w:t>
      </w:r>
      <w:r>
        <w:rPr>
          <w:rFonts w:ascii="Times New Roman" w:hAnsi="Times New Roman" w:eastAsia="仿宋_GB2312" w:cs="Times New Roman"/>
          <w:color w:val="000000"/>
          <w:sz w:val="31"/>
          <w:szCs w:val="31"/>
        </w:rPr>
        <w:t>和优化营商环境</w:t>
      </w:r>
      <w:r>
        <w:rPr>
          <w:rFonts w:hint="eastAsia" w:ascii="Times New Roman" w:hAnsi="Times New Roman" w:eastAsia="仿宋_GB2312" w:cs="Times New Roman"/>
          <w:color w:val="000000"/>
          <w:sz w:val="31"/>
          <w:szCs w:val="31"/>
        </w:rPr>
        <w:t>的</w:t>
      </w:r>
      <w:r>
        <w:rPr>
          <w:rFonts w:ascii="Times New Roman" w:hAnsi="Times New Roman" w:eastAsia="仿宋_GB2312" w:cs="Times New Roman"/>
          <w:color w:val="000000"/>
          <w:sz w:val="31"/>
          <w:szCs w:val="31"/>
        </w:rPr>
        <w:t>效果</w:t>
      </w:r>
      <w:r>
        <w:rPr>
          <w:rFonts w:hint="eastAsia" w:ascii="Times New Roman" w:hAnsi="Times New Roman" w:eastAsia="仿宋_GB2312" w:cs="Times New Roman"/>
          <w:color w:val="000000"/>
          <w:sz w:val="31"/>
          <w:szCs w:val="31"/>
        </w:rPr>
        <w:t>，</w:t>
      </w:r>
      <w:r>
        <w:rPr>
          <w:rFonts w:ascii="Times New Roman" w:hAnsi="Times New Roman" w:eastAsia="仿宋_GB2312" w:cs="Times New Roman"/>
          <w:color w:val="000000"/>
          <w:sz w:val="31"/>
          <w:szCs w:val="31"/>
        </w:rPr>
        <w:t>是</w:t>
      </w:r>
      <w:r>
        <w:rPr>
          <w:rFonts w:hint="eastAsia" w:ascii="Times New Roman" w:hAnsi="Times New Roman" w:eastAsia="仿宋_GB2312" w:cs="Times New Roman"/>
          <w:color w:val="000000"/>
          <w:sz w:val="31"/>
          <w:szCs w:val="31"/>
        </w:rPr>
        <w:t>建设公共服务型政府的一个因素。在人员选派上，选派政治素质高、业务能力强、服务态度好、工作作风实、能很好代表本部门形象的同志到窗口工作。坚持走群众路线，保持良好服务质量，提升窗口工作形象，不断提高工作</w:t>
      </w:r>
      <w:r>
        <w:rPr>
          <w:rFonts w:ascii="Times New Roman" w:hAnsi="Times New Roman" w:eastAsia="仿宋_GB2312" w:cs="Times New Roman"/>
          <w:color w:val="000000"/>
          <w:sz w:val="31"/>
          <w:szCs w:val="31"/>
        </w:rPr>
        <w:t>效</w:t>
      </w:r>
      <w:r>
        <w:rPr>
          <w:rFonts w:hint="eastAsia" w:ascii="Times New Roman" w:hAnsi="Times New Roman" w:eastAsia="仿宋_GB2312" w:cs="Times New Roman"/>
          <w:color w:val="000000"/>
          <w:sz w:val="31"/>
          <w:szCs w:val="31"/>
        </w:rPr>
        <w:t>率。针对群众咨询电话较多的情况，增派人员接听电话，并通过QQ群的方式及时解答企业问题。</w:t>
      </w:r>
    </w:p>
    <w:p>
      <w:pPr>
        <w:spacing w:line="580" w:lineRule="exact"/>
        <w:ind w:firstLine="624" w:firstLineChars="200"/>
        <w:rPr>
          <w:rFonts w:hint="eastAsia" w:ascii="Times New Roman" w:hAnsi="Times New Roman" w:eastAsia="仿宋_GB2312" w:cs="Times New Roman"/>
          <w:color w:val="000000"/>
          <w:sz w:val="31"/>
          <w:szCs w:val="31"/>
        </w:rPr>
      </w:pPr>
      <w:r>
        <w:rPr>
          <w:rFonts w:hint="eastAsia" w:ascii="楷体_GB2312" w:hAnsi="楷体_GB2312" w:eastAsia="楷体_GB2312" w:cs="楷体_GB2312"/>
          <w:color w:val="000000"/>
          <w:sz w:val="32"/>
          <w:szCs w:val="32"/>
          <w:lang w:eastAsia="zh-CN"/>
        </w:rPr>
        <w:t>（二）提高服务质量情况。</w:t>
      </w:r>
      <w:r>
        <w:rPr>
          <w:rFonts w:ascii="Times New Roman" w:hAnsi="Times New Roman"/>
          <w:sz w:val="28"/>
          <w:szCs w:val="28"/>
        </w:rPr>
        <w:t>明</w:t>
      </w:r>
      <w:r>
        <w:rPr>
          <w:rFonts w:hint="eastAsia" w:ascii="Times New Roman" w:hAnsi="Times New Roman" w:eastAsia="仿宋_GB2312" w:cs="Times New Roman"/>
          <w:color w:val="000000"/>
          <w:sz w:val="31"/>
          <w:szCs w:val="31"/>
        </w:rPr>
        <w:t>确事项实施的工作职责、工作流程、工作要求</w:t>
      </w:r>
      <w:r>
        <w:rPr>
          <w:rFonts w:hint="eastAsia" w:ascii="Times New Roman" w:hAnsi="Times New Roman" w:eastAsia="仿宋_GB2312" w:cs="Times New Roman"/>
          <w:color w:val="000000"/>
          <w:sz w:val="31"/>
          <w:szCs w:val="31"/>
          <w:lang w:eastAsia="zh-CN"/>
        </w:rPr>
        <w:t>。采用</w:t>
      </w:r>
      <w:r>
        <w:rPr>
          <w:rFonts w:hint="eastAsia" w:ascii="Times New Roman" w:hAnsi="Times New Roman" w:eastAsia="仿宋_GB2312" w:cs="Times New Roman"/>
          <w:color w:val="000000"/>
          <w:sz w:val="31"/>
          <w:szCs w:val="31"/>
        </w:rPr>
        <w:t>首问负责、一次性告知</w:t>
      </w:r>
      <w:r>
        <w:rPr>
          <w:rFonts w:hint="eastAsia" w:ascii="Times New Roman" w:hAnsi="Times New Roman" w:eastAsia="仿宋_GB2312" w:cs="Times New Roman"/>
          <w:color w:val="000000"/>
          <w:sz w:val="31"/>
          <w:szCs w:val="31"/>
          <w:lang w:eastAsia="zh-CN"/>
        </w:rPr>
        <w:t>等工作要求。</w:t>
      </w:r>
      <w:r>
        <w:rPr>
          <w:rFonts w:hint="eastAsia" w:ascii="Times New Roman" w:hAnsi="Times New Roman" w:eastAsia="仿宋_GB2312" w:cs="Times New Roman"/>
          <w:color w:val="000000"/>
          <w:sz w:val="31"/>
          <w:szCs w:val="31"/>
        </w:rPr>
        <w:t>加强对事项申办、受理环节的监督监控，及时发现办理过程中不作为、乱作为、慢作为问题，确保服务过程可考核、有追踪、受监督</w:t>
      </w:r>
      <w:r>
        <w:rPr>
          <w:rFonts w:hint="eastAsia" w:ascii="Times New Roman" w:hAnsi="Times New Roman" w:eastAsia="仿宋_GB2312" w:cs="Times New Roman"/>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24" w:firstLineChars="200"/>
        <w:textAlignment w:val="auto"/>
        <w:outlineLvl w:val="9"/>
        <w:rPr>
          <w:rFonts w:hint="eastAsia"/>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优化办理流程情况。</w:t>
      </w:r>
      <w:r>
        <w:rPr>
          <w:rFonts w:ascii="Times New Roman" w:hAnsi="Times New Roman"/>
          <w:sz w:val="32"/>
          <w:szCs w:val="32"/>
        </w:rPr>
        <w:t>整合压减事项的申请、受理、审查、决定等办事环节，优化服务流程，</w:t>
      </w:r>
      <w:r>
        <w:rPr>
          <w:rFonts w:hint="eastAsia" w:ascii="Times New Roman" w:hAnsi="Times New Roman"/>
          <w:sz w:val="32"/>
          <w:szCs w:val="32"/>
          <w:lang w:eastAsia="zh-CN"/>
        </w:rPr>
        <w:t>编</w:t>
      </w:r>
      <w:r>
        <w:rPr>
          <w:rFonts w:ascii="Times New Roman" w:hAnsi="Times New Roman"/>
          <w:sz w:val="32"/>
          <w:szCs w:val="32"/>
        </w:rPr>
        <w:t>制</w:t>
      </w:r>
      <w:r>
        <w:rPr>
          <w:rFonts w:hint="eastAsia" w:ascii="Times New Roman" w:hAnsi="Times New Roman"/>
          <w:sz w:val="32"/>
          <w:szCs w:val="32"/>
          <w:lang w:eastAsia="zh-CN"/>
        </w:rPr>
        <w:t>了《外国人来华工作许可服务手册》发放给相关企业，</w:t>
      </w:r>
      <w:r>
        <w:rPr>
          <w:rFonts w:ascii="Times New Roman" w:hAnsi="Times New Roman"/>
          <w:sz w:val="32"/>
          <w:szCs w:val="32"/>
        </w:rPr>
        <w:t>并</w:t>
      </w:r>
      <w:r>
        <w:rPr>
          <w:rFonts w:hint="eastAsia" w:ascii="Times New Roman" w:hAnsi="Times New Roman"/>
          <w:sz w:val="32"/>
          <w:szCs w:val="32"/>
          <w:lang w:eastAsia="zh-CN"/>
        </w:rPr>
        <w:t>在“外国人来华工作东莞业务工作群”</w:t>
      </w:r>
      <w:r>
        <w:rPr>
          <w:rFonts w:ascii="Times New Roman" w:hAnsi="Times New Roman"/>
          <w:sz w:val="32"/>
          <w:szCs w:val="32"/>
        </w:rPr>
        <w:t>公开办事流程图</w:t>
      </w:r>
      <w:r>
        <w:rPr>
          <w:rFonts w:hint="eastAsia" w:ascii="Times New Roman" w:hAnsi="Times New Roman"/>
          <w:sz w:val="32"/>
          <w:szCs w:val="32"/>
          <w:lang w:eastAsia="zh-CN"/>
        </w:rPr>
        <w:t>。</w:t>
      </w:r>
      <w:r>
        <w:rPr>
          <w:rFonts w:hint="eastAsia" w:ascii="Times New Roman" w:hAnsi="Times New Roman"/>
          <w:b w:val="0"/>
          <w:bCs w:val="0"/>
          <w:sz w:val="32"/>
          <w:szCs w:val="32"/>
          <w:lang w:eastAsia="zh-CN"/>
        </w:rPr>
        <w:t>《</w:t>
      </w:r>
      <w:r>
        <w:rPr>
          <w:rFonts w:hint="eastAsia"/>
          <w:b w:val="0"/>
          <w:bCs w:val="0"/>
          <w:sz w:val="32"/>
          <w:szCs w:val="32"/>
          <w:lang w:val="en-US" w:eastAsia="zh-CN"/>
        </w:rPr>
        <w:t>外国人来华工作许可</w:t>
      </w:r>
      <w:r>
        <w:rPr>
          <w:rFonts w:hint="eastAsia" w:ascii="Times New Roman" w:hAnsi="Times New Roman"/>
          <w:b w:val="0"/>
          <w:bCs w:val="0"/>
          <w:sz w:val="32"/>
          <w:szCs w:val="32"/>
          <w:lang w:eastAsia="zh-CN"/>
        </w:rPr>
        <w:t>》的</w:t>
      </w:r>
      <w:r>
        <w:rPr>
          <w:rFonts w:ascii="Times New Roman" w:hAnsi="Times New Roman"/>
          <w:b w:val="0"/>
          <w:bCs w:val="0"/>
          <w:sz w:val="32"/>
          <w:szCs w:val="32"/>
        </w:rPr>
        <w:t>行</w:t>
      </w:r>
      <w:r>
        <w:rPr>
          <w:rFonts w:ascii="Times New Roman" w:hAnsi="Times New Roman"/>
          <w:sz w:val="32"/>
          <w:szCs w:val="32"/>
        </w:rPr>
        <w:t>政许可事项</w:t>
      </w:r>
      <w:r>
        <w:rPr>
          <w:rFonts w:hint="eastAsia" w:ascii="Times New Roman" w:hAnsi="Times New Roman"/>
          <w:sz w:val="32"/>
          <w:szCs w:val="32"/>
          <w:lang w:eastAsia="zh-CN"/>
        </w:rPr>
        <w:t>采用网上办理预审。</w:t>
      </w:r>
      <w:r>
        <w:rPr>
          <w:rFonts w:hint="eastAsia"/>
          <w:szCs w:val="32"/>
        </w:rPr>
        <w:t xml:space="preserve">  </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hint="eastAsia"/>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hint="eastAsia"/>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hint="eastAsia"/>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szCs w:val="32"/>
        </w:rPr>
      </w:pPr>
      <w:r>
        <w:rPr>
          <w:rFonts w:hint="eastAsia"/>
          <w:szCs w:val="32"/>
          <w:lang w:val="en-US" w:eastAsia="zh-CN"/>
        </w:rPr>
        <w:t xml:space="preserve">                                </w:t>
      </w:r>
      <w:r>
        <w:rPr>
          <w:rFonts w:hint="eastAsia"/>
          <w:szCs w:val="32"/>
        </w:rPr>
        <w:t>东莞市科学技术局</w:t>
      </w:r>
    </w:p>
    <w:p>
      <w:pPr>
        <w:keepNext w:val="0"/>
        <w:keepLines w:val="0"/>
        <w:pageBreakBefore w:val="0"/>
        <w:widowControl w:val="0"/>
        <w:kinsoku/>
        <w:wordWrap/>
        <w:overflowPunct/>
        <w:topLinePunct w:val="0"/>
        <w:autoSpaceDE/>
        <w:autoSpaceDN/>
        <w:bidi w:val="0"/>
        <w:adjustRightInd/>
        <w:snapToGrid w:val="0"/>
        <w:spacing w:line="580" w:lineRule="exact"/>
        <w:ind w:right="640" w:firstLine="624" w:firstLineChars="200"/>
        <w:jc w:val="right"/>
        <w:textAlignment w:val="auto"/>
        <w:outlineLvl w:val="9"/>
        <w:rPr>
          <w:rFonts w:hint="eastAsia"/>
          <w:szCs w:val="32"/>
        </w:rPr>
      </w:pPr>
      <w:r>
        <w:rPr>
          <w:rFonts w:hint="eastAsia"/>
          <w:szCs w:val="32"/>
        </w:rPr>
        <w:t xml:space="preserve">                                </w:t>
      </w:r>
      <w:r>
        <w:rPr>
          <w:rFonts w:hint="default" w:ascii="Times New Roman" w:hAnsi="Times New Roman" w:cs="Times New Roman"/>
          <w:szCs w:val="32"/>
        </w:rPr>
        <w:t xml:space="preserve"> 20</w:t>
      </w:r>
      <w:r>
        <w:rPr>
          <w:rFonts w:hint="eastAsia" w:ascii="Times New Roman" w:hAnsi="Times New Roman" w:cs="Times New Roman"/>
          <w:szCs w:val="32"/>
          <w:lang w:val="en-US" w:eastAsia="zh-CN"/>
        </w:rPr>
        <w:t>19</w:t>
      </w:r>
      <w:r>
        <w:rPr>
          <w:rFonts w:hint="default" w:ascii="Times New Roman" w:hAnsi="Times New Roman" w:cs="Times New Roman"/>
          <w:szCs w:val="32"/>
        </w:rPr>
        <w:t>年</w:t>
      </w:r>
      <w:r>
        <w:rPr>
          <w:rFonts w:hint="eastAsia" w:ascii="Times New Roman" w:hAnsi="Times New Roman" w:cs="Times New Roman"/>
          <w:szCs w:val="32"/>
          <w:lang w:val="en-US" w:eastAsia="zh-CN"/>
        </w:rPr>
        <w:t>8</w:t>
      </w:r>
      <w:r>
        <w:rPr>
          <w:rFonts w:hint="default" w:ascii="Times New Roman" w:hAnsi="Times New Roman" w:cs="Times New Roman"/>
          <w:szCs w:val="32"/>
        </w:rPr>
        <w:t>月</w:t>
      </w:r>
      <w:r>
        <w:rPr>
          <w:rFonts w:hint="eastAsia" w:ascii="Times New Roman" w:hAnsi="Times New Roman" w:cs="Times New Roman"/>
          <w:szCs w:val="32"/>
          <w:lang w:val="en-US" w:eastAsia="zh-CN"/>
        </w:rPr>
        <w:t>19</w:t>
      </w:r>
      <w:bookmarkStart w:id="1" w:name="_GoBack"/>
      <w:bookmarkEnd w:id="1"/>
      <w:r>
        <w:rPr>
          <w:rFonts w:hint="eastAsia"/>
          <w:szCs w:val="32"/>
        </w:rPr>
        <w:t>日</w:t>
      </w:r>
    </w:p>
    <w:p>
      <w:pPr>
        <w:keepNext w:val="0"/>
        <w:keepLines w:val="0"/>
        <w:pageBreakBefore w:val="0"/>
        <w:widowControl w:val="0"/>
        <w:kinsoku/>
        <w:wordWrap/>
        <w:overflowPunct/>
        <w:topLinePunct w:val="0"/>
        <w:autoSpaceDE/>
        <w:autoSpaceDN/>
        <w:bidi w:val="0"/>
        <w:adjustRightInd/>
        <w:snapToGrid w:val="0"/>
        <w:spacing w:line="580" w:lineRule="exact"/>
        <w:ind w:right="640" w:firstLine="624" w:firstLineChars="200"/>
        <w:jc w:val="center"/>
        <w:textAlignment w:val="auto"/>
        <w:outlineLvl w:val="9"/>
        <w:rPr>
          <w:rFonts w:hint="eastAsia"/>
          <w:szCs w:val="32"/>
        </w:rPr>
      </w:pPr>
    </w:p>
    <w:p>
      <w:pPr>
        <w:keepNext w:val="0"/>
        <w:keepLines w:val="0"/>
        <w:pageBreakBefore w:val="0"/>
        <w:widowControl w:val="0"/>
        <w:kinsoku/>
        <w:wordWrap/>
        <w:overflowPunct/>
        <w:topLinePunct w:val="0"/>
        <w:autoSpaceDE/>
        <w:autoSpaceDN/>
        <w:bidi w:val="0"/>
        <w:adjustRightInd/>
        <w:snapToGrid w:val="0"/>
        <w:spacing w:line="580" w:lineRule="exact"/>
        <w:ind w:right="640" w:firstLine="624" w:firstLineChars="200"/>
        <w:jc w:val="both"/>
        <w:textAlignment w:val="auto"/>
        <w:outlineLvl w:val="9"/>
        <w:rPr>
          <w:rFonts w:hint="eastAsia"/>
          <w:szCs w:val="32"/>
        </w:rPr>
        <w:sectPr>
          <w:pgSz w:w="11906" w:h="16838"/>
          <w:pgMar w:top="2211" w:right="1588" w:bottom="1871" w:left="1588" w:header="851" w:footer="1474" w:gutter="0"/>
          <w:cols w:space="720" w:num="1"/>
          <w:docGrid w:type="linesAndChars" w:linePitch="579" w:charSpace="-1683"/>
        </w:sectPr>
      </w:pPr>
    </w:p>
    <w:p>
      <w:pPr>
        <w:keepNext w:val="0"/>
        <w:keepLines w:val="0"/>
        <w:pageBreakBefore w:val="0"/>
        <w:widowControl w:val="0"/>
        <w:kinsoku/>
        <w:wordWrap/>
        <w:overflowPunct/>
        <w:topLinePunct w:val="0"/>
        <w:bidi w:val="0"/>
        <w:spacing w:line="580" w:lineRule="exact"/>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304" w:bottom="1304" w:left="1304" w:header="851" w:footer="1304" w:gutter="0"/>
      <w:pgBorders w:display="firstPage">
        <w:bottom w:val="thickThinSmallGap" w:color="FF0000" w:sz="24" w:space="2"/>
      </w:pgBorders>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067" w:h="562" w:hRule="exact" w:wrap="around" w:vAnchor="text" w:hAnchor="page" w:x="9465" w:y="209"/>
      <w:jc w:val="center"/>
      <w:rPr>
        <w:rStyle w:val="6"/>
        <w:rFonts w:hint="eastAsia"/>
      </w:rPr>
    </w:pPr>
    <w:r>
      <w:rPr>
        <w:rStyle w:val="6"/>
        <w:rFonts w:hint="eastAsia"/>
      </w:rPr>
      <w:t>—</w:t>
    </w:r>
    <w:r>
      <w:fldChar w:fldCharType="begin"/>
    </w:r>
    <w:r>
      <w:rPr>
        <w:rStyle w:val="6"/>
      </w:rPr>
      <w:instrText xml:space="preserve">PAGE  </w:instrText>
    </w:r>
    <w:r>
      <w:fldChar w:fldCharType="separate"/>
    </w:r>
    <w:r>
      <w:rPr>
        <w:rStyle w:val="6"/>
      </w:rPr>
      <w:t>3</w:t>
    </w:r>
    <w:r>
      <w:fldChar w:fldCharType="end"/>
    </w:r>
    <w:r>
      <w:rPr>
        <w:rStyle w:val="6"/>
        <w:rFonts w:hint="eastAsia"/>
      </w:rPr>
      <w:t>—</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notBeside" w:vAnchor="page" w:hAnchor="page" w:x="1625" w:y="15422"/>
      <w:rPr>
        <w:rStyle w:val="6"/>
      </w:rPr>
    </w:pPr>
    <w:r>
      <w:rPr>
        <w:rStyle w:val="6"/>
        <w:rFonts w:hint="eastAsia"/>
      </w:rPr>
      <w:t>—</w:t>
    </w:r>
    <w:r>
      <w:fldChar w:fldCharType="begin"/>
    </w:r>
    <w:r>
      <w:rPr>
        <w:rStyle w:val="6"/>
      </w:rPr>
      <w:instrText xml:space="preserve">PAGE  </w:instrText>
    </w:r>
    <w:r>
      <w:fldChar w:fldCharType="separate"/>
    </w:r>
    <w:r>
      <w:rPr>
        <w:rStyle w:val="6"/>
      </w:rPr>
      <w:t>2</w:t>
    </w:r>
    <w:r>
      <w:fldChar w:fldCharType="end"/>
    </w:r>
    <w:r>
      <w:rPr>
        <w:rStyle w:val="6"/>
        <w:rFonts w:hint="eastAsia"/>
      </w:rPr>
      <w:t>—</w:t>
    </w:r>
  </w:p>
  <w:p>
    <w:pPr>
      <w:pStyle w:val="3"/>
      <w:ind w:right="360"/>
      <w:jc w:val="both"/>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C6323"/>
    <w:rsid w:val="039B10C3"/>
    <w:rsid w:val="0B60144E"/>
    <w:rsid w:val="0F370BCF"/>
    <w:rsid w:val="105317D0"/>
    <w:rsid w:val="140809B8"/>
    <w:rsid w:val="176C4D1B"/>
    <w:rsid w:val="1AEE6184"/>
    <w:rsid w:val="1BAC433A"/>
    <w:rsid w:val="1DC02D5B"/>
    <w:rsid w:val="1F190FAB"/>
    <w:rsid w:val="225927EF"/>
    <w:rsid w:val="230E3D7B"/>
    <w:rsid w:val="26ED5C74"/>
    <w:rsid w:val="27E24F2F"/>
    <w:rsid w:val="29943C22"/>
    <w:rsid w:val="2A336A57"/>
    <w:rsid w:val="2CE34895"/>
    <w:rsid w:val="3232270E"/>
    <w:rsid w:val="33AC52F5"/>
    <w:rsid w:val="34420395"/>
    <w:rsid w:val="36172DC9"/>
    <w:rsid w:val="39602F11"/>
    <w:rsid w:val="3B456772"/>
    <w:rsid w:val="3D6D30A8"/>
    <w:rsid w:val="3F34755C"/>
    <w:rsid w:val="42494771"/>
    <w:rsid w:val="45836861"/>
    <w:rsid w:val="46777116"/>
    <w:rsid w:val="46796010"/>
    <w:rsid w:val="497C51CC"/>
    <w:rsid w:val="4A0E6D13"/>
    <w:rsid w:val="4C49344E"/>
    <w:rsid w:val="4FF32AAE"/>
    <w:rsid w:val="56782DF5"/>
    <w:rsid w:val="567C6323"/>
    <w:rsid w:val="57DE43BD"/>
    <w:rsid w:val="587867FA"/>
    <w:rsid w:val="5A160593"/>
    <w:rsid w:val="5AD135A8"/>
    <w:rsid w:val="5B4E0D58"/>
    <w:rsid w:val="5FEF5B83"/>
    <w:rsid w:val="62404AAC"/>
    <w:rsid w:val="63043D0B"/>
    <w:rsid w:val="6391386D"/>
    <w:rsid w:val="64D544FE"/>
    <w:rsid w:val="678C3034"/>
    <w:rsid w:val="6AC34DAD"/>
    <w:rsid w:val="6F98307D"/>
    <w:rsid w:val="77DB31B7"/>
    <w:rsid w:val="7ACD006B"/>
    <w:rsid w:val="7E292671"/>
    <w:rsid w:val="7F70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leader="hyphen" w:pos="4153"/>
        <w:tab w:val="right" w:pos="8306"/>
      </w:tabs>
      <w:snapToGrid w:val="0"/>
      <w:jc w:val="right"/>
    </w:pPr>
    <w:rPr>
      <w:sz w:val="28"/>
      <w:szCs w:val="18"/>
    </w:rPr>
  </w:style>
  <w:style w:type="paragraph" w:styleId="4">
    <w:name w:val="header"/>
    <w:basedOn w:val="1"/>
    <w:qFormat/>
    <w:uiPriority w:val="0"/>
    <w:pP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仿宋_GB2312"/>
      <w:sz w:val="28"/>
      <w:lang w:eastAsia="zh-CN"/>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2019-08-12T02:45:00Z</dcterms:created>
  <dc:creator>李月玲</dc:creator>
  <cp:lastModifiedBy>李月玲</cp:lastModifiedBy>
  <dcterms:modified xsi:type="dcterms:W3CDTF">2019-08-23T02:44:58Z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