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sz w:val="32"/>
          <w:szCs w:val="32"/>
          <w:lang w:val="en-US" w:eastAsia="zh-CN" w:bidi="ar"/>
        </w:rPr>
      </w:pPr>
      <w:r>
        <w:rPr>
          <w:rFonts w:hint="default" w:ascii="Times New Roman" w:hAnsi="Times New Roman" w:eastAsia="方正黑体_GBK" w:cs="Times New Roman"/>
          <w:sz w:val="32"/>
          <w:szCs w:val="32"/>
          <w:lang w:eastAsia="zh-CN" w:bidi="ar"/>
        </w:rPr>
        <w:t>附件</w:t>
      </w:r>
      <w:r>
        <w:rPr>
          <w:rFonts w:hint="default" w:ascii="Times New Roman" w:hAnsi="Times New Roman" w:eastAsia="方正黑体_GBK" w:cs="Times New Roman"/>
          <w:sz w:val="32"/>
          <w:szCs w:val="32"/>
          <w:lang w:val="en-US" w:eastAsia="zh-CN" w:bidi="ar"/>
        </w:rPr>
        <w:t>1</w:t>
      </w: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jc w:val="center"/>
        <w:rPr>
          <w:rFonts w:ascii="方正小标宋简体" w:eastAsia="方正小标宋简体"/>
          <w:sz w:val="56"/>
          <w:szCs w:val="72"/>
          <w:lang w:bidi="ar"/>
        </w:rPr>
      </w:pPr>
      <w:r>
        <w:rPr>
          <w:rFonts w:hint="eastAsia" w:ascii="方正小标宋简体" w:eastAsia="方正小标宋简体"/>
          <w:sz w:val="56"/>
          <w:szCs w:val="72"/>
          <w:lang w:bidi="ar"/>
        </w:rPr>
        <w:t>东莞市科技创新“十五五”规划</w:t>
      </w:r>
    </w:p>
    <w:p>
      <w:pPr>
        <w:spacing w:before="312" w:beforeLines="100"/>
        <w:jc w:val="center"/>
        <w:rPr>
          <w:rFonts w:ascii="方正小标宋简体" w:eastAsia="方正小标宋简体"/>
          <w:sz w:val="40"/>
          <w:szCs w:val="44"/>
          <w:lang w:bidi="ar"/>
        </w:rPr>
      </w:pPr>
      <w:r>
        <w:rPr>
          <w:rFonts w:hint="eastAsia" w:ascii="方正小标宋简体" w:eastAsia="方正小标宋简体"/>
          <w:sz w:val="40"/>
          <w:szCs w:val="44"/>
          <w:lang w:bidi="ar"/>
        </w:rPr>
        <w:t>（征求意见稿）</w:t>
      </w: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rPr>
          <w:lang w:bidi="ar"/>
        </w:rPr>
      </w:pPr>
    </w:p>
    <w:p>
      <w:pPr>
        <w:pStyle w:val="9"/>
        <w:rPr>
          <w:lang w:bidi="ar"/>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pStyle w:val="9"/>
        <w:rPr>
          <w:rFonts w:ascii="方正小标宋简体" w:eastAsia="方正小标宋简体"/>
          <w:lang w:bidi="ar"/>
        </w:rPr>
      </w:pPr>
      <w:r>
        <w:rPr>
          <w:rFonts w:hint="eastAsia" w:ascii="方正小标宋简体" w:eastAsia="方正小标宋简体"/>
          <w:lang w:bidi="ar"/>
        </w:rPr>
        <w:t>目</w:t>
      </w:r>
      <w:r>
        <w:rPr>
          <w:rFonts w:ascii="方正小标宋简体" w:eastAsia="方正小标宋简体"/>
          <w:lang w:bidi="ar"/>
        </w:rPr>
        <w:t xml:space="preserve"> </w:t>
      </w:r>
      <w:r>
        <w:rPr>
          <w:rFonts w:hint="eastAsia" w:ascii="方正小标宋简体" w:eastAsia="方正小标宋简体"/>
          <w:lang w:bidi="ar"/>
        </w:rPr>
        <w:t>录</w:t>
      </w:r>
    </w:p>
    <w:p>
      <w:pPr>
        <w:pStyle w:val="9"/>
        <w:rPr>
          <w:rFonts w:ascii="Times New Roman" w:hAnsi="Times New Roman" w:cstheme="minorBidi"/>
          <w:sz w:val="28"/>
          <w:szCs w:val="28"/>
        </w:rPr>
      </w:pPr>
      <w:r>
        <w:rPr>
          <w:rFonts w:ascii="Times New Roman" w:hAnsi="Times New Roman" w:eastAsia="仿宋_GB2312" w:cs="仿宋_GB2312"/>
          <w:kern w:val="0"/>
          <w:sz w:val="28"/>
          <w:szCs w:val="28"/>
          <w:lang w:bidi="ar"/>
        </w:rPr>
        <w:fldChar w:fldCharType="begin"/>
      </w:r>
      <w:r>
        <w:rPr>
          <w:rFonts w:ascii="Times New Roman" w:hAnsi="Times New Roman" w:eastAsia="仿宋_GB2312" w:cs="仿宋_GB2312"/>
          <w:kern w:val="0"/>
          <w:sz w:val="28"/>
          <w:szCs w:val="28"/>
          <w:lang w:bidi="ar"/>
        </w:rPr>
        <w:instrText xml:space="preserve"> TOC \o "1-3" \h \z \u </w:instrText>
      </w:r>
      <w:r>
        <w:rPr>
          <w:rFonts w:ascii="Times New Roman" w:hAnsi="Times New Roman" w:eastAsia="仿宋_GB2312" w:cs="仿宋_GB2312"/>
          <w:kern w:val="0"/>
          <w:sz w:val="28"/>
          <w:szCs w:val="28"/>
          <w:lang w:bidi="ar"/>
        </w:rPr>
        <w:fldChar w:fldCharType="separate"/>
      </w: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"_Toc219454857"</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ascii="Times New Roman" w:hAnsi="Times New Roman" w:eastAsia="黑体"/>
          <w:sz w:val="28"/>
          <w:szCs w:val="28"/>
        </w:rPr>
        <w:t>第一章 开启迈向科技现代化新征程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_Toc219454857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"_Toc219454858"</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第一节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发展基础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_Toc219454858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"_Toc219454859"</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第二节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面临形势</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_Toc219454859 \h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"_Toc219454860"</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第三节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发展思路</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_Toc219454860 \h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Style w:val="18"/>
          <w:rFonts w:ascii="Times New Roman" w:hAnsi="Times New Roman"/>
          <w:sz w:val="28"/>
          <w:szCs w:val="28"/>
        </w:rPr>
        <w:fldChar w:fldCharType="end"/>
      </w:r>
    </w:p>
    <w:p>
      <w:pPr>
        <w:pStyle w:val="9"/>
        <w:rPr>
          <w:rFonts w:ascii="Times New Roman" w:hAnsi="Times New Roman" w:cstheme="minorBidi"/>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"_Toc219454861"</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ascii="Times New Roman" w:hAnsi="Times New Roman" w:eastAsia="黑体"/>
          <w:sz w:val="28"/>
          <w:szCs w:val="28"/>
        </w:rPr>
        <w:t>第二章 强化高质量科技供给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_Toc219454861 \h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"_Toc219454862"</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第一节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建好用好国家重大科技基础设施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_Toc219454862 \h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"_Toc219454863"</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第二节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建设与产业紧密结合的多层级科研平台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_Toc219454863 \h </w:instrText>
      </w:r>
      <w:r>
        <w:rPr>
          <w:rFonts w:ascii="Times New Roman" w:hAnsi="Times New Roman"/>
          <w:sz w:val="28"/>
          <w:szCs w:val="28"/>
        </w:rPr>
        <w:fldChar w:fldCharType="separate"/>
      </w:r>
      <w:r>
        <w:rPr>
          <w:rFonts w:ascii="Times New Roman" w:hAnsi="Times New Roman"/>
          <w:sz w:val="28"/>
          <w:szCs w:val="28"/>
        </w:rPr>
        <w:t>11</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"_Toc219454864"</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第三节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加强源头创新能力建设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_Toc219454864 \h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"_Toc219454865"</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第四节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加强关键核心技术攻关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_Toc219454865 \h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"_Toc219454866"</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第五节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提升社会民生技术供给水平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_Toc219454866 \h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Style w:val="18"/>
          <w:rFonts w:ascii="Times New Roman" w:hAnsi="Times New Roman"/>
          <w:sz w:val="28"/>
          <w:szCs w:val="28"/>
        </w:rPr>
        <w:fldChar w:fldCharType="end"/>
      </w:r>
    </w:p>
    <w:p>
      <w:pPr>
        <w:pStyle w:val="9"/>
        <w:rPr>
          <w:rFonts w:ascii="Times New Roman" w:hAnsi="Times New Roman" w:cstheme="minorBidi"/>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"_Toc219454867"</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ascii="Times New Roman" w:hAnsi="Times New Roman" w:eastAsia="黑体"/>
          <w:sz w:val="28"/>
          <w:szCs w:val="28"/>
        </w:rPr>
        <w:t>第三章 推进科技创新与产业创新深度融合</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_Toc219454867 \h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"_Toc219454868"</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第一节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强化企业科技创新主体地位</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_Toc219454868 \h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"_Toc219454869"</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第二节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促进科技成果转化应用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_Toc219454869 \h </w:instrText>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"_Toc219454870"</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第三节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提升科技金融赋能作用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_Toc219454870 \h </w:instrText>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"_Toc219454871"</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第四节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强化知识产权创造和标准引领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_Toc219454871 \h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"_Toc219454872"</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第五节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壮大科技服务业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_Toc219454872 \h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"_Toc219454873"</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第六节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推动建设区域创新集聚高地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_Toc219454873 \h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Style w:val="18"/>
          <w:rFonts w:ascii="Times New Roman" w:hAnsi="Times New Roman"/>
          <w:sz w:val="28"/>
          <w:szCs w:val="28"/>
        </w:rPr>
        <w:fldChar w:fldCharType="end"/>
      </w:r>
    </w:p>
    <w:p>
      <w:pPr>
        <w:pStyle w:val="9"/>
        <w:rPr>
          <w:rFonts w:ascii="Times New Roman" w:hAnsi="Times New Roman" w:cstheme="minorBidi"/>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"_Toc219454874"</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ascii="Times New Roman" w:hAnsi="Times New Roman" w:eastAsia="黑体"/>
          <w:sz w:val="28"/>
          <w:szCs w:val="28"/>
        </w:rPr>
        <w:t>第四章 推进教育科技人才一体化发展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_Toc219454874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"_Toc219454875"</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第一节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推动高等教育跨越式发展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_Toc219454875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"_Toc219454876"</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第二节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完善科教协同育人机制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_Toc219454876 \h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"_Toc219454877"</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第三节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建设高水平科技人才队伍</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_Toc219454877 \h </w:instrText>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"_Toc219454878"</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第四节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深化人才评价改革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_Toc219454878 \h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"_Toc219454879"</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第五节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提升创新人才服务水平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_Toc219454879 \h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Style w:val="18"/>
          <w:rFonts w:ascii="Times New Roman" w:hAnsi="Times New Roman"/>
          <w:sz w:val="28"/>
          <w:szCs w:val="28"/>
        </w:rPr>
        <w:fldChar w:fldCharType="end"/>
      </w:r>
    </w:p>
    <w:p>
      <w:pPr>
        <w:pStyle w:val="9"/>
        <w:rPr>
          <w:rFonts w:ascii="Times New Roman" w:hAnsi="Times New Roman" w:cstheme="minorBidi"/>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"_Toc219454880"</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ascii="Times New Roman" w:hAnsi="Times New Roman" w:eastAsia="黑体"/>
          <w:sz w:val="28"/>
          <w:szCs w:val="28"/>
        </w:rPr>
        <w:t>第五章 营造一流的开放创新生态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_Toc219454880 \h </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"_Toc219454881"</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第一节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加强湾区城市群间科技协同联动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_Toc219454881 \h </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"_Toc219454882"</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第二节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深化与港澳台科技交流与合作</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_Toc219454882 \h </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"_Toc219454883"</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第三节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推进打造面向国际的开放创新生态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_Toc219454883 \h </w:instrText>
      </w:r>
      <w:r>
        <w:rPr>
          <w:rFonts w:ascii="Times New Roman" w:hAnsi="Times New Roman"/>
          <w:sz w:val="28"/>
          <w:szCs w:val="28"/>
        </w:rPr>
        <w:fldChar w:fldCharType="separate"/>
      </w:r>
      <w:r>
        <w:rPr>
          <w:rFonts w:ascii="Times New Roman" w:hAnsi="Times New Roman"/>
          <w:sz w:val="28"/>
          <w:szCs w:val="28"/>
        </w:rPr>
        <w:t>33</w:t>
      </w:r>
      <w:r>
        <w:rPr>
          <w:rFonts w:ascii="Times New Roman" w:hAnsi="Times New Roman"/>
          <w:sz w:val="28"/>
          <w:szCs w:val="28"/>
        </w:rPr>
        <w:fldChar w:fldCharType="end"/>
      </w:r>
      <w:r>
        <w:rPr>
          <w:rStyle w:val="18"/>
          <w:rFonts w:ascii="Times New Roman" w:hAnsi="Times New Roman"/>
          <w:sz w:val="28"/>
          <w:szCs w:val="28"/>
        </w:rPr>
        <w:fldChar w:fldCharType="end"/>
      </w:r>
    </w:p>
    <w:p>
      <w:pPr>
        <w:pStyle w:val="9"/>
        <w:rPr>
          <w:rFonts w:ascii="Times New Roman" w:hAnsi="Times New Roman" w:cstheme="minorBidi"/>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"_Toc219454884"</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ascii="Times New Roman" w:hAnsi="Times New Roman" w:eastAsia="黑体"/>
          <w:sz w:val="28"/>
          <w:szCs w:val="28"/>
        </w:rPr>
        <w:t>第六章 提升科技创新治理能力与水平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_Toc219454884 \h </w:instrText>
      </w:r>
      <w:r>
        <w:rPr>
          <w:rFonts w:ascii="Times New Roman" w:hAnsi="Times New Roman"/>
          <w:sz w:val="28"/>
          <w:szCs w:val="28"/>
        </w:rPr>
        <w:fldChar w:fldCharType="separate"/>
      </w:r>
      <w:r>
        <w:rPr>
          <w:rFonts w:ascii="Times New Roman" w:hAnsi="Times New Roman"/>
          <w:sz w:val="28"/>
          <w:szCs w:val="28"/>
        </w:rPr>
        <w:t>33</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"_Toc219454885"</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第一节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加强党对科技工作全面领导</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_Toc219454885 \h </w:instrText>
      </w:r>
      <w:r>
        <w:rPr>
          <w:rFonts w:ascii="Times New Roman" w:hAnsi="Times New Roman"/>
          <w:sz w:val="28"/>
          <w:szCs w:val="28"/>
        </w:rPr>
        <w:fldChar w:fldCharType="separate"/>
      </w:r>
      <w:r>
        <w:rPr>
          <w:rFonts w:ascii="Times New Roman" w:hAnsi="Times New Roman"/>
          <w:sz w:val="28"/>
          <w:szCs w:val="28"/>
        </w:rPr>
        <w:t>33</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"_Toc219454886"</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第二节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深化科技体制改革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_Toc219454886 \h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"_Toc219454887"</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第三节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加强与部门、镇街（园区）协同联动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_Toc219454887 \h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"_Toc219454888"</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第四节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健全科技安全治理机制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_Toc219454888 \h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"_Toc219454889"</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第五节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加强科学普及和宣传</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_Toc219454889 \h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Style w:val="18"/>
          <w:rFonts w:ascii="Times New Roman" w:hAnsi="Times New Roman"/>
          <w:sz w:val="28"/>
          <w:szCs w:val="28"/>
        </w:rPr>
        <w:fldChar w:fldCharType="end"/>
      </w:r>
    </w:p>
    <w:p>
      <w:pPr>
        <w:pStyle w:val="11"/>
        <w:rPr>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 </w:instrText>
      </w:r>
      <w:r>
        <w:rPr>
          <w:rFonts w:ascii="Times New Roman" w:hAnsi="Times New Roman"/>
          <w:sz w:val="28"/>
          <w:szCs w:val="28"/>
        </w:rPr>
        <w:instrText xml:space="preserve">HYPERLINK \l "_Toc219454890"</w:instrText>
      </w:r>
      <w:r>
        <w:rPr>
          <w:rStyle w:val="18"/>
          <w:rFonts w:ascii="Times New Roman" w:hAnsi="Times New Roman"/>
          <w:sz w:val="28"/>
          <w:szCs w:val="28"/>
        </w:rPr>
        <w:instrText xml:space="preserve"> </w:instrText>
      </w:r>
      <w:r>
        <w:rPr>
          <w:rStyle w:val="18"/>
          <w:rFonts w:ascii="Times New Roman" w:hAnsi="Times New Roman"/>
          <w:sz w:val="28"/>
          <w:szCs w:val="28"/>
        </w:rPr>
        <w:fldChar w:fldCharType="separate"/>
      </w:r>
      <w:r>
        <w:rPr>
          <w:rStyle w:val="18"/>
          <w:rFonts w:hint="eastAsia" w:ascii="Times New Roman" w:hAnsi="Times New Roman" w:eastAsia="楷体_GB2312"/>
          <w:sz w:val="28"/>
          <w:szCs w:val="28"/>
        </w:rPr>
        <w:t>第六节</w:t>
      </w:r>
      <w:r>
        <w:rPr>
          <w:rStyle w:val="18"/>
          <w:rFonts w:ascii="Times New Roman" w:hAnsi="Times New Roman" w:eastAsia="楷体_GB2312"/>
          <w:sz w:val="28"/>
          <w:szCs w:val="28"/>
        </w:rPr>
        <w:t xml:space="preserve"> </w:t>
      </w:r>
      <w:r>
        <w:rPr>
          <w:rStyle w:val="18"/>
          <w:rFonts w:hint="eastAsia" w:ascii="Times New Roman" w:hAnsi="Times New Roman" w:eastAsia="楷体_GB2312"/>
          <w:sz w:val="28"/>
          <w:szCs w:val="28"/>
        </w:rPr>
        <w:t>加强规划跟踪实施与管理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_Toc219454890 \h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Style w:val="18"/>
          <w:rFonts w:ascii="Times New Roman" w:hAnsi="Times New Roman"/>
          <w:sz w:val="28"/>
          <w:szCs w:val="28"/>
        </w:rPr>
        <w:fldChar w:fldCharType="end"/>
      </w:r>
    </w:p>
    <w:p>
      <w:pPr>
        <w:widowControl/>
        <w:rPr>
          <w:rFonts w:ascii="Times New Roman" w:hAnsi="Times New Roman" w:eastAsia="仿宋_GB2312" w:cs="仿宋_GB2312"/>
          <w:kern w:val="0"/>
          <w:sz w:val="32"/>
          <w:szCs w:val="31"/>
          <w:lang w:bidi="ar"/>
        </w:rPr>
      </w:pPr>
      <w:r>
        <w:rPr>
          <w:rFonts w:ascii="Times New Roman" w:hAnsi="Times New Roman" w:eastAsia="仿宋_GB2312" w:cs="仿宋_GB2312"/>
          <w:kern w:val="0"/>
          <w:sz w:val="28"/>
          <w:szCs w:val="28"/>
          <w:lang w:bidi="ar"/>
        </w:rPr>
        <w:fldChar w:fldCharType="end"/>
      </w:r>
    </w:p>
    <w:p>
      <w:pPr>
        <w:widowControl/>
        <w:ind w:firstLine="640" w:firstLineChars="200"/>
        <w:rPr>
          <w:rFonts w:ascii="Times New Roman" w:hAnsi="Times New Roman" w:eastAsia="仿宋_GB2312" w:cs="仿宋_GB2312"/>
          <w:kern w:val="0"/>
          <w:sz w:val="32"/>
          <w:szCs w:val="31"/>
          <w:lang w:bidi="ar"/>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jc w:val="center"/>
        <w:rPr>
          <w:rFonts w:ascii="方正小标宋简体" w:hAnsi="Times New Roman" w:eastAsia="方正小标宋简体"/>
          <w:sz w:val="40"/>
          <w:szCs w:val="28"/>
        </w:rPr>
      </w:pPr>
      <w:r>
        <w:rPr>
          <w:rFonts w:hint="eastAsia" w:ascii="方正小标宋简体" w:hAnsi="Times New Roman" w:eastAsia="方正小标宋简体"/>
          <w:sz w:val="40"/>
          <w:szCs w:val="28"/>
        </w:rPr>
        <w:t>东莞市科技创新“十五五”规划</w:t>
      </w:r>
    </w:p>
    <w:p>
      <w:pPr>
        <w:spacing w:after="312" w:afterLines="100"/>
        <w:jc w:val="center"/>
        <w:rPr>
          <w:rFonts w:ascii="Times New Roman" w:hAnsi="Times New Roman" w:eastAsia="仿宋_GB2312"/>
          <w:sz w:val="32"/>
        </w:rPr>
      </w:pPr>
      <w:r>
        <w:rPr>
          <w:rFonts w:hint="eastAsia" w:ascii="Times New Roman" w:hAnsi="Times New Roman" w:eastAsia="仿宋_GB2312"/>
          <w:sz w:val="32"/>
        </w:rPr>
        <w:t>（公开征求意见稿）</w:t>
      </w:r>
    </w:p>
    <w:p>
      <w:pPr>
        <w:spacing w:line="580" w:lineRule="exact"/>
        <w:ind w:firstLine="640" w:firstLineChars="200"/>
        <w:outlineLvl w:val="0"/>
        <w:rPr>
          <w:rFonts w:ascii="黑体" w:hAnsi="黑体" w:eastAsia="黑体"/>
          <w:sz w:val="32"/>
        </w:rPr>
      </w:pPr>
      <w:bookmarkStart w:id="0" w:name="_Toc219454857"/>
      <w:r>
        <w:rPr>
          <w:rFonts w:hint="eastAsia" w:ascii="黑体" w:hAnsi="黑体" w:eastAsia="黑体"/>
          <w:sz w:val="32"/>
        </w:rPr>
        <w:t>第一章</w:t>
      </w:r>
      <w:r>
        <w:rPr>
          <w:rFonts w:ascii="黑体" w:hAnsi="黑体" w:eastAsia="黑体"/>
          <w:sz w:val="32"/>
        </w:rPr>
        <w:t xml:space="preserve"> </w:t>
      </w:r>
      <w:r>
        <w:rPr>
          <w:rFonts w:hint="eastAsia" w:ascii="黑体" w:hAnsi="黑体" w:eastAsia="黑体"/>
          <w:sz w:val="32"/>
        </w:rPr>
        <w:t>开启迈向科技现代化新征程</w:t>
      </w:r>
      <w:bookmarkEnd w:id="0"/>
    </w:p>
    <w:p>
      <w:pPr>
        <w:spacing w:line="580" w:lineRule="exact"/>
        <w:ind w:firstLine="640" w:firstLineChars="200"/>
        <w:outlineLvl w:val="1"/>
        <w:rPr>
          <w:rFonts w:ascii="楷体_GB2312" w:hAnsi="Times New Roman" w:eastAsia="楷体_GB2312"/>
          <w:sz w:val="32"/>
        </w:rPr>
      </w:pPr>
      <w:bookmarkStart w:id="1" w:name="_Toc219454858"/>
      <w:r>
        <w:rPr>
          <w:rFonts w:hint="eastAsia" w:ascii="楷体_GB2312" w:hAnsi="Times New Roman" w:eastAsia="楷体_GB2312"/>
          <w:sz w:val="32"/>
        </w:rPr>
        <w:t>第一节 发展基础</w:t>
      </w:r>
      <w:bookmarkEnd w:id="1"/>
    </w:p>
    <w:p>
      <w:pPr>
        <w:spacing w:line="580" w:lineRule="exact"/>
        <w:ind w:firstLine="640" w:firstLineChars="200"/>
        <w:rPr>
          <w:rFonts w:ascii="Times New Roman" w:hAnsi="Times New Roman" w:eastAsia="仿宋_GB2312" w:cs="仿宋_GB2312"/>
          <w:kern w:val="0"/>
          <w:sz w:val="32"/>
          <w:szCs w:val="31"/>
          <w:lang w:bidi="ar"/>
        </w:rPr>
      </w:pPr>
      <w:r>
        <w:rPr>
          <w:rFonts w:hint="eastAsia" w:ascii="Times New Roman" w:hAnsi="Times New Roman" w:eastAsia="仿宋_GB2312" w:cs="仿宋_GB2312"/>
          <w:kern w:val="0"/>
          <w:sz w:val="32"/>
          <w:szCs w:val="31"/>
          <w:lang w:bidi="ar"/>
        </w:rPr>
        <w:t>“十四五”期间，东莞始终坚持创新在现代化建设全局中的核心地位，将科技自立自强作为高质量发展的战略支撑，认真落实省委“1310”具体部署，聚焦“科技创新+先进制造”城市特色，着力推动“3+3”产业科技创新工程，努力营造最优生态，全市研发投入占GDP比重达4.01%，国家高新技术企业超过</w:t>
      </w:r>
      <w:r>
        <w:rPr>
          <w:rFonts w:ascii="Times New Roman" w:hAnsi="Times New Roman" w:eastAsia="仿宋_GB2312" w:cs="仿宋_GB2312"/>
          <w:kern w:val="0"/>
          <w:sz w:val="32"/>
          <w:szCs w:val="31"/>
          <w:lang w:bidi="ar"/>
        </w:rPr>
        <w:t>1</w:t>
      </w:r>
      <w:r>
        <w:rPr>
          <w:rFonts w:hint="eastAsia" w:ascii="Times New Roman" w:hAnsi="Times New Roman" w:eastAsia="仿宋_GB2312" w:cs="仿宋_GB2312"/>
          <w:kern w:val="0"/>
          <w:sz w:val="32"/>
          <w:szCs w:val="31"/>
          <w:lang w:bidi="ar"/>
        </w:rPr>
        <w:t>万家，规模以上高技术制造业增加值占全市规上工业增加值比重达41.6%，为东莞加快培育新质生产力、塑造发展新优势奠定了坚实基础。</w:t>
      </w:r>
    </w:p>
    <w:p>
      <w:pPr>
        <w:spacing w:line="580" w:lineRule="exact"/>
        <w:ind w:firstLine="642" w:firstLineChars="200"/>
        <w:rPr>
          <w:rFonts w:ascii="Times New Roman" w:hAnsi="Times New Roman" w:eastAsia="仿宋_GB2312" w:cs="仿宋_GB2312"/>
          <w:kern w:val="0"/>
          <w:sz w:val="32"/>
          <w:szCs w:val="31"/>
          <w:lang w:bidi="ar"/>
        </w:rPr>
      </w:pPr>
      <w:r>
        <w:rPr>
          <w:rFonts w:hint="eastAsia" w:ascii="Times New Roman" w:hAnsi="Times New Roman" w:eastAsia="仿宋_GB2312" w:cs="仿宋_GB2312"/>
          <w:b/>
          <w:bCs/>
          <w:kern w:val="0"/>
          <w:sz w:val="32"/>
          <w:szCs w:val="31"/>
          <w:lang w:bidi="ar"/>
        </w:rPr>
        <w:t>（一）源头创新供给能力</w:t>
      </w:r>
      <w:r>
        <w:rPr>
          <w:rFonts w:hint="eastAsia" w:ascii="Times New Roman" w:hAnsi="Times New Roman" w:eastAsia="仿宋_GB2312" w:cs="仿宋_GB2312"/>
          <w:b/>
          <w:bCs/>
          <w:kern w:val="0"/>
          <w:sz w:val="32"/>
          <w:szCs w:val="31"/>
          <w:u w:val="none"/>
          <w:lang w:bidi="ar"/>
        </w:rPr>
        <w:t>进一步增强</w:t>
      </w:r>
      <w:r>
        <w:rPr>
          <w:rFonts w:hint="eastAsia" w:ascii="Times New Roman" w:hAnsi="Times New Roman" w:eastAsia="仿宋_GB2312" w:cs="仿宋_GB2312"/>
          <w:b/>
          <w:bCs/>
          <w:kern w:val="0"/>
          <w:sz w:val="32"/>
          <w:szCs w:val="31"/>
          <w:lang w:bidi="ar"/>
        </w:rPr>
        <w:t>。</w:t>
      </w:r>
      <w:r>
        <w:rPr>
          <w:rFonts w:hint="eastAsia" w:ascii="Times New Roman" w:hAnsi="Times New Roman" w:eastAsia="仿宋_GB2312" w:cs="仿宋_GB2312"/>
          <w:kern w:val="0"/>
          <w:sz w:val="32"/>
          <w:szCs w:val="31"/>
          <w:lang w:bidi="ar"/>
        </w:rPr>
        <w:t>重大科技基础设施方面，散裂中子源完成十三轮开放运行，孵化的硼中子俘获治疗（BNCT）设备获批进入创新医疗器械特别审查程序（绿色通道），散裂中子源二期、先进阿秒激光设施纳入“十四五”国家重大科技基础设施建设规划并相继启动建设，东莞世界级大科学装置集群建设驶入快车道。高水平大学方面，香港城市大学（东莞）、大湾区大学等新型研究型大学获批成立并陆续招生，东莞理工学院高水平理工科大学建设初见成效，共6个学科进入ESI全球前1%。重大科研平台方面，东莞首个国家级科研机构中国科学院东莞材料科学与技术研究所正式挂牌成立，松山湖材料实验室累计承担国家、省项目超250项，“材料科学”首次进入ESI前1%。基础研究方面，省市联动设立联合基金，带动市内高校、科研机构等加强基础研究投入，东莞基础研究经费从2020年的2.36亿元增加至2024年的</w:t>
      </w:r>
      <w:r>
        <w:rPr>
          <w:rFonts w:ascii="Times New Roman" w:hAnsi="Times New Roman" w:eastAsia="仿宋_GB2312" w:cs="仿宋_GB2312"/>
          <w:kern w:val="0"/>
          <w:sz w:val="32"/>
          <w:szCs w:val="31"/>
          <w:lang w:bidi="ar"/>
        </w:rPr>
        <w:t>7.8</w:t>
      </w:r>
      <w:r>
        <w:rPr>
          <w:rFonts w:hint="eastAsia" w:ascii="Times New Roman" w:hAnsi="Times New Roman" w:eastAsia="仿宋_GB2312" w:cs="仿宋_GB2312"/>
          <w:kern w:val="0"/>
          <w:sz w:val="32"/>
          <w:szCs w:val="31"/>
          <w:lang w:bidi="ar"/>
        </w:rPr>
        <w:t>亿元。</w:t>
      </w:r>
    </w:p>
    <w:p>
      <w:pPr>
        <w:spacing w:line="580" w:lineRule="exact"/>
        <w:ind w:firstLine="642" w:firstLineChars="200"/>
        <w:rPr>
          <w:rFonts w:ascii="Times New Roman" w:hAnsi="Times New Roman" w:eastAsia="仿宋_GB2312" w:cs="仿宋_GB2312"/>
          <w:kern w:val="0"/>
          <w:sz w:val="32"/>
          <w:szCs w:val="31"/>
          <w:lang w:bidi="ar"/>
        </w:rPr>
      </w:pPr>
      <w:r>
        <w:rPr>
          <w:rFonts w:hint="eastAsia" w:ascii="Times New Roman" w:hAnsi="Times New Roman" w:eastAsia="仿宋_GB2312" w:cs="仿宋_GB2312"/>
          <w:b/>
          <w:bCs/>
          <w:kern w:val="0"/>
          <w:sz w:val="32"/>
          <w:szCs w:val="31"/>
          <w:lang w:bidi="ar"/>
        </w:rPr>
        <w:t>（二）核心技术攻关效能</w:t>
      </w:r>
      <w:r>
        <w:rPr>
          <w:rFonts w:hint="eastAsia" w:ascii="Times New Roman" w:hAnsi="Times New Roman" w:eastAsia="仿宋_GB2312" w:cs="仿宋_GB2312"/>
          <w:b/>
          <w:bCs/>
          <w:kern w:val="0"/>
          <w:sz w:val="32"/>
          <w:szCs w:val="31"/>
          <w:u w:val="none"/>
          <w:lang w:bidi="ar"/>
        </w:rPr>
        <w:t>进一步提升</w:t>
      </w:r>
      <w:r>
        <w:rPr>
          <w:rFonts w:hint="eastAsia" w:ascii="Times New Roman" w:hAnsi="Times New Roman" w:eastAsia="仿宋_GB2312" w:cs="仿宋_GB2312"/>
          <w:b/>
          <w:bCs/>
          <w:kern w:val="0"/>
          <w:sz w:val="32"/>
          <w:szCs w:val="31"/>
          <w:lang w:bidi="ar"/>
        </w:rPr>
        <w:t>。</w:t>
      </w:r>
      <w:r>
        <w:rPr>
          <w:rFonts w:hint="eastAsia" w:ascii="Times New Roman" w:hAnsi="Times New Roman" w:eastAsia="仿宋_GB2312" w:cs="仿宋_GB2312"/>
          <w:kern w:val="0"/>
          <w:sz w:val="32"/>
          <w:szCs w:val="31"/>
          <w:lang w:bidi="ar"/>
        </w:rPr>
        <w:t>积极探索参与关键核心技术攻关新型举国体制“广东路径”，与广州、深圳等城市共同成为省强芯工程战略专项首批项目支持城市。改革重大科技项目组织机制，重构市级重大科技项目体系，践行“业主制”“揭榜挂帅”等新型组织方式，在全省率先以创新联合体方式开展联合攻关，组建了新型储能、轻有源、未来生物食品、工业母机与模具、新一代人工智能、化合物半导体、数字人体与智慧睡眠7个创新联合体，创新联合体案例入选全省科技体制改革典型案例和全省基层改革典型案例。</w:t>
      </w:r>
    </w:p>
    <w:p>
      <w:pPr>
        <w:spacing w:line="580" w:lineRule="exact"/>
        <w:ind w:firstLine="642" w:firstLineChars="200"/>
        <w:rPr>
          <w:rFonts w:ascii="Times New Roman" w:hAnsi="Times New Roman" w:eastAsia="仿宋_GB2312" w:cs="仿宋_GB2312"/>
          <w:kern w:val="0"/>
          <w:sz w:val="32"/>
          <w:szCs w:val="31"/>
          <w:lang w:bidi="ar"/>
        </w:rPr>
      </w:pPr>
      <w:r>
        <w:rPr>
          <w:rFonts w:hint="eastAsia" w:ascii="Times New Roman" w:hAnsi="Times New Roman" w:eastAsia="仿宋_GB2312" w:cs="仿宋_GB2312"/>
          <w:b/>
          <w:bCs/>
          <w:kern w:val="0"/>
          <w:sz w:val="32"/>
          <w:szCs w:val="31"/>
          <w:lang w:bidi="ar"/>
        </w:rPr>
        <w:t>（三）科技成果转化体系</w:t>
      </w:r>
      <w:r>
        <w:rPr>
          <w:rFonts w:hint="eastAsia" w:ascii="Times New Roman" w:hAnsi="Times New Roman" w:eastAsia="仿宋_GB2312" w:cs="仿宋_GB2312"/>
          <w:b/>
          <w:bCs/>
          <w:kern w:val="0"/>
          <w:sz w:val="32"/>
          <w:szCs w:val="31"/>
          <w:u w:val="none"/>
          <w:lang w:bidi="ar"/>
        </w:rPr>
        <w:t>进一步完善</w:t>
      </w:r>
      <w:r>
        <w:rPr>
          <w:rFonts w:hint="eastAsia" w:ascii="Times New Roman" w:hAnsi="Times New Roman" w:eastAsia="仿宋_GB2312" w:cs="仿宋_GB2312"/>
          <w:b/>
          <w:bCs/>
          <w:kern w:val="0"/>
          <w:sz w:val="32"/>
          <w:szCs w:val="31"/>
          <w:lang w:bidi="ar"/>
        </w:rPr>
        <w:t>。</w:t>
      </w:r>
      <w:r>
        <w:rPr>
          <w:rFonts w:hint="eastAsia" w:ascii="Times New Roman" w:hAnsi="Times New Roman" w:eastAsia="仿宋_GB2312" w:cs="仿宋_GB2312"/>
          <w:kern w:val="0"/>
          <w:sz w:val="32"/>
          <w:szCs w:val="31"/>
          <w:lang w:bidi="ar"/>
        </w:rPr>
        <w:t>建成“科技型中小企业—高新技术企业—瞪羚企业—百强企业”发展梯队，截至2024年，高新技术企业达10200家、百强创新型企业115家、瞪羚企业1004家。推动“众创空间—孵化器—加速器”全链条孵化载体建设，目前共118家孵化载体，其中25家国家级孵化器、17家国家级众创空间。打造创新创业创富的“小生态”，以松山湖国际创新创业社区为示范，建设滨海湾国际开放创新创业社区、水乡现代化产业创新创业社区、厚街创新创业社区等成果转化落地空间载体。健全中试平台体系，引进中关村硬创空间集团合作共建东莞中关村智造中试基地，成立东莞市智能制造中试联盟，围绕我市“8+8+4”产业体系出台专项政策加快中试平台建设，广东微纳加工与器件制备中试平台、东莞新材料与智能制造共性技术中试平台入选国家工信部首批中试平台建设培育名单。17家共建类新型研发机构“十四五”期间累计孵化与创办企业3</w:t>
      </w:r>
      <w:r>
        <w:rPr>
          <w:rFonts w:ascii="Times New Roman" w:hAnsi="Times New Roman" w:eastAsia="仿宋_GB2312" w:cs="仿宋_GB2312"/>
          <w:kern w:val="0"/>
          <w:sz w:val="32"/>
          <w:szCs w:val="31"/>
          <w:lang w:bidi="ar"/>
        </w:rPr>
        <w:t>400</w:t>
      </w:r>
      <w:r>
        <w:rPr>
          <w:rFonts w:hint="eastAsia" w:ascii="Times New Roman" w:hAnsi="Times New Roman" w:eastAsia="仿宋_GB2312" w:cs="仿宋_GB2312"/>
          <w:kern w:val="0"/>
          <w:sz w:val="32"/>
          <w:szCs w:val="31"/>
          <w:lang w:bidi="ar"/>
        </w:rPr>
        <w:t>多家，营业收入总额达3</w:t>
      </w:r>
      <w:r>
        <w:rPr>
          <w:rFonts w:ascii="Times New Roman" w:hAnsi="Times New Roman" w:eastAsia="仿宋_GB2312" w:cs="仿宋_GB2312"/>
          <w:kern w:val="0"/>
          <w:sz w:val="32"/>
          <w:szCs w:val="31"/>
          <w:lang w:bidi="ar"/>
        </w:rPr>
        <w:t>21</w:t>
      </w:r>
      <w:r>
        <w:rPr>
          <w:rFonts w:hint="eastAsia" w:ascii="Times New Roman" w:hAnsi="Times New Roman" w:eastAsia="仿宋_GB2312" w:cs="仿宋_GB2312"/>
          <w:kern w:val="0"/>
          <w:sz w:val="32"/>
          <w:szCs w:val="31"/>
          <w:lang w:bidi="ar"/>
        </w:rPr>
        <w:t>亿元。</w:t>
      </w:r>
    </w:p>
    <w:p>
      <w:pPr>
        <w:spacing w:line="580" w:lineRule="exact"/>
        <w:ind w:firstLine="642" w:firstLineChars="200"/>
        <w:rPr>
          <w:rFonts w:ascii="Times New Roman" w:hAnsi="Times New Roman" w:eastAsia="仿宋_GB2312" w:cs="仿宋_GB2312"/>
          <w:kern w:val="0"/>
          <w:sz w:val="32"/>
          <w:szCs w:val="31"/>
          <w:lang w:bidi="ar"/>
        </w:rPr>
      </w:pPr>
      <w:r>
        <w:rPr>
          <w:rFonts w:hint="eastAsia" w:ascii="Times New Roman" w:hAnsi="Times New Roman" w:eastAsia="仿宋_GB2312" w:cs="仿宋_GB2312"/>
          <w:b/>
          <w:bCs/>
          <w:kern w:val="0"/>
          <w:sz w:val="32"/>
          <w:szCs w:val="31"/>
          <w:lang w:bidi="ar"/>
        </w:rPr>
        <w:t>（四）科技金融支撑作用</w:t>
      </w:r>
      <w:r>
        <w:rPr>
          <w:rFonts w:hint="eastAsia" w:ascii="Times New Roman" w:hAnsi="Times New Roman" w:eastAsia="仿宋_GB2312" w:cs="仿宋_GB2312"/>
          <w:b/>
          <w:bCs/>
          <w:kern w:val="0"/>
          <w:sz w:val="32"/>
          <w:szCs w:val="31"/>
          <w:u w:val="none"/>
          <w:lang w:bidi="ar"/>
        </w:rPr>
        <w:t>进一步提升</w:t>
      </w:r>
      <w:r>
        <w:rPr>
          <w:rFonts w:hint="eastAsia" w:ascii="Times New Roman" w:hAnsi="Times New Roman" w:eastAsia="仿宋_GB2312" w:cs="仿宋_GB2312"/>
          <w:b/>
          <w:bCs/>
          <w:kern w:val="0"/>
          <w:sz w:val="32"/>
          <w:szCs w:val="31"/>
          <w:lang w:bidi="ar"/>
        </w:rPr>
        <w:t>。</w:t>
      </w:r>
      <w:r>
        <w:rPr>
          <w:rFonts w:hint="eastAsia" w:ascii="Times New Roman" w:hAnsi="Times New Roman" w:eastAsia="仿宋_GB2312" w:cs="仿宋_GB2312"/>
          <w:kern w:val="0"/>
          <w:sz w:val="32"/>
          <w:szCs w:val="31"/>
          <w:lang w:bidi="ar"/>
        </w:rPr>
        <w:t>打造了东莞市高质量发展基金体系，涵盖“政策型+市场型”两类型基金、“7支母基金”、“N个子基金群”，满足种子期、初创期、成长期、成熟期等不同发展阶段企业发展需求。积极探索新型科技金融产品，创新推出“科链贷”“科技成果转化贷”“投联贷”“科保贷”，将企业授信额度与其科技成果价值挂钩，显著提升了科技型企业的融资可获得性。完善科技金融公共服务，松山湖科技金融服务中心升级为广东省科技金融综合服务中心东莞松山湖分中心，松山湖高标准建设科技金融集聚区，为松山湖乃至全市科技创新和产业高质量发展提供强有力的金融支撑。</w:t>
      </w:r>
    </w:p>
    <w:p>
      <w:pPr>
        <w:spacing w:line="580" w:lineRule="exact"/>
        <w:ind w:firstLine="642" w:firstLineChars="200"/>
        <w:rPr>
          <w:rFonts w:ascii="Times New Roman" w:hAnsi="Times New Roman" w:eastAsia="仿宋_GB2312" w:cs="仿宋_GB2312"/>
          <w:kern w:val="0"/>
          <w:sz w:val="32"/>
          <w:szCs w:val="31"/>
          <w:lang w:bidi="ar"/>
        </w:rPr>
      </w:pPr>
      <w:r>
        <w:rPr>
          <w:rFonts w:hint="eastAsia" w:ascii="Times New Roman" w:hAnsi="Times New Roman" w:eastAsia="仿宋_GB2312" w:cs="仿宋_GB2312"/>
          <w:b/>
          <w:bCs/>
          <w:kern w:val="0"/>
          <w:sz w:val="32"/>
          <w:szCs w:val="31"/>
          <w:lang w:bidi="ar"/>
        </w:rPr>
        <w:t>（五）科产教协同育人</w:t>
      </w:r>
      <w:r>
        <w:rPr>
          <w:rFonts w:hint="eastAsia" w:ascii="Times New Roman" w:hAnsi="Times New Roman" w:eastAsia="仿宋_GB2312" w:cs="仿宋_GB2312"/>
          <w:b/>
          <w:bCs/>
          <w:kern w:val="0"/>
          <w:sz w:val="32"/>
          <w:szCs w:val="31"/>
          <w:u w:val="none"/>
          <w:lang w:bidi="ar"/>
        </w:rPr>
        <w:t>进一步深化</w:t>
      </w:r>
      <w:r>
        <w:rPr>
          <w:rFonts w:hint="eastAsia" w:ascii="Times New Roman" w:hAnsi="Times New Roman" w:eastAsia="仿宋_GB2312" w:cs="仿宋_GB2312"/>
          <w:b/>
          <w:bCs/>
          <w:kern w:val="0"/>
          <w:sz w:val="32"/>
          <w:szCs w:val="31"/>
          <w:lang w:bidi="ar"/>
        </w:rPr>
        <w:t>。</w:t>
      </w:r>
      <w:r>
        <w:rPr>
          <w:rFonts w:hint="eastAsia" w:ascii="Times New Roman" w:hAnsi="Times New Roman" w:eastAsia="仿宋_GB2312" w:cs="仿宋_GB2312"/>
          <w:kern w:val="0"/>
          <w:sz w:val="32"/>
          <w:szCs w:val="31"/>
          <w:lang w:bidi="ar"/>
        </w:rPr>
        <w:t>构建了覆盖“战略科学家团队—创新科研团队—青年科技人才—卓越工程师”的梯度化人才政策体系，累计引进战略科学家团队2个、省级创新科研团队41个，并通过粤莞联合基金资助青年科研人员项目603项。大力推进教育科技人才一体化发展，依托教育部批准成立的粤港澳大湾区（东莞）新一代信息技术国家卓越工程师创新研究院，积极承担中组部工程硕博士培养改革和教育部卓越工程师培养试点任务，建立了成熟的人才联合培养模式与校企精准对接机制。</w:t>
      </w:r>
    </w:p>
    <w:p>
      <w:pPr>
        <w:spacing w:line="580" w:lineRule="exact"/>
        <w:ind w:firstLine="642" w:firstLineChars="200"/>
        <w:rPr>
          <w:rFonts w:ascii="Times New Roman" w:hAnsi="Times New Roman" w:eastAsia="仿宋_GB2312" w:cs="仿宋_GB2312"/>
          <w:kern w:val="0"/>
          <w:sz w:val="32"/>
          <w:szCs w:val="31"/>
          <w:lang w:bidi="ar"/>
        </w:rPr>
      </w:pPr>
      <w:r>
        <w:rPr>
          <w:rFonts w:hint="eastAsia" w:ascii="Times New Roman" w:hAnsi="Times New Roman" w:eastAsia="仿宋_GB2312" w:cs="仿宋_GB2312"/>
          <w:b/>
          <w:bCs/>
          <w:kern w:val="0"/>
          <w:sz w:val="32"/>
          <w:szCs w:val="31"/>
          <w:lang w:bidi="ar"/>
        </w:rPr>
        <w:t>（六）科技创新生态</w:t>
      </w:r>
      <w:r>
        <w:rPr>
          <w:rFonts w:hint="eastAsia" w:ascii="Times New Roman" w:hAnsi="Times New Roman" w:eastAsia="仿宋_GB2312" w:cs="仿宋_GB2312"/>
          <w:b/>
          <w:bCs/>
          <w:kern w:val="0"/>
          <w:sz w:val="32"/>
          <w:szCs w:val="31"/>
          <w:u w:val="none"/>
          <w:lang w:bidi="ar"/>
        </w:rPr>
        <w:t>进一步优化</w:t>
      </w:r>
      <w:r>
        <w:rPr>
          <w:rFonts w:hint="eastAsia" w:ascii="Times New Roman" w:hAnsi="Times New Roman" w:eastAsia="仿宋_GB2312" w:cs="仿宋_GB2312"/>
          <w:b/>
          <w:bCs/>
          <w:kern w:val="0"/>
          <w:sz w:val="32"/>
          <w:szCs w:val="31"/>
          <w:lang w:bidi="ar"/>
        </w:rPr>
        <w:t>。</w:t>
      </w:r>
      <w:r>
        <w:rPr>
          <w:rFonts w:hint="eastAsia" w:ascii="仿宋_GB2312" w:hAnsi="仿宋_GB2312" w:eastAsia="仿宋_GB2312" w:cs="仿宋_GB2312"/>
          <w:kern w:val="0"/>
          <w:sz w:val="32"/>
          <w:szCs w:val="31"/>
          <w:lang w:bidi="ar"/>
        </w:rPr>
        <w:t>科技合作不断深化。支持香港城市大学（东莞）建设科技创新中心、强化与香港城市大学</w:t>
      </w:r>
      <w:r>
        <w:rPr>
          <w:rFonts w:ascii="Times New Roman" w:hAnsi="Times New Roman" w:eastAsia="仿宋_GB2312" w:cs="仿宋_GB2312"/>
          <w:kern w:val="0"/>
          <w:sz w:val="32"/>
          <w:szCs w:val="31"/>
          <w:lang w:bidi="ar"/>
        </w:rPr>
        <w:t>HKTech300</w:t>
      </w:r>
      <w:r>
        <w:rPr>
          <w:rFonts w:hint="eastAsia" w:ascii="Times New Roman" w:hAnsi="Times New Roman" w:eastAsia="仿宋_GB2312" w:cs="仿宋_GB2312"/>
          <w:kern w:val="0"/>
          <w:sz w:val="32"/>
          <w:szCs w:val="31"/>
          <w:lang w:bidi="ar"/>
        </w:rPr>
        <w:t>计划的资源对接、与香港生产力促进局共同实施“莞港</w:t>
      </w:r>
      <w:r>
        <w:rPr>
          <w:rFonts w:ascii="Times New Roman" w:hAnsi="Times New Roman" w:eastAsia="仿宋_GB2312" w:cs="仿宋_GB2312"/>
          <w:kern w:val="0"/>
          <w:sz w:val="32"/>
          <w:szCs w:val="31"/>
          <w:lang w:bidi="ar"/>
        </w:rPr>
        <w:t>Tech100+</w:t>
      </w:r>
      <w:r>
        <w:rPr>
          <w:rFonts w:hint="eastAsia" w:ascii="Times New Roman" w:hAnsi="Times New Roman" w:eastAsia="仿宋_GB2312" w:cs="仿宋_GB2312"/>
          <w:kern w:val="0"/>
          <w:sz w:val="32"/>
          <w:szCs w:val="31"/>
          <w:lang w:bidi="ar"/>
        </w:rPr>
        <w:t>赋能计划”、与香港科学园举办</w:t>
      </w:r>
      <w:r>
        <w:rPr>
          <w:rFonts w:ascii="Times New Roman" w:hAnsi="Times New Roman" w:eastAsia="仿宋_GB2312" w:cs="仿宋_GB2312"/>
          <w:kern w:val="0"/>
          <w:sz w:val="32"/>
          <w:szCs w:val="31"/>
          <w:lang w:bidi="ar"/>
        </w:rPr>
        <w:t>IDM²</w:t>
      </w:r>
      <w:r>
        <w:rPr>
          <w:rFonts w:hint="eastAsia" w:ascii="Times New Roman" w:hAnsi="Times New Roman" w:eastAsia="仿宋_GB2312" w:cs="仿宋_GB2312"/>
          <w:kern w:val="0"/>
          <w:sz w:val="32"/>
          <w:szCs w:val="31"/>
          <w:lang w:bidi="ar"/>
        </w:rPr>
        <w:t>硬件开发加速计划和电子开发加速计划（东莞专项）等深化莞港澳合作，国内唯一面向拉美和加勒比国家的国家级跨国技术转移机构—中国-拉美和加勒比国家技术转移中心落户东莞，建成中拉海外创新中心，与古巴、智力等顶尖高校科研院所共建联合实验室、开展关键技术研发。市镇科技会商实现“一镇一品”格局。支持石龙以中试平台赋能生物医药产业、大朗布局建设新材料产业园、石排加强莞港合作和推动潮玩产业发展、道</w:t>
      </w:r>
      <w:r>
        <w:rPr>
          <w:rFonts w:hint="eastAsia" w:ascii="微软雅黑" w:hAnsi="微软雅黑" w:eastAsia="微软雅黑" w:cs="微软雅黑"/>
          <w:kern w:val="0"/>
          <w:sz w:val="32"/>
          <w:szCs w:val="31"/>
          <w:lang w:bidi="ar"/>
        </w:rPr>
        <w:t>滘</w:t>
      </w:r>
      <w:r>
        <w:rPr>
          <w:rFonts w:hint="eastAsia" w:ascii="仿宋_GB2312" w:hAnsi="仿宋_GB2312" w:eastAsia="仿宋_GB2312" w:cs="仿宋_GB2312"/>
          <w:kern w:val="0"/>
          <w:sz w:val="32"/>
          <w:szCs w:val="31"/>
          <w:lang w:bidi="ar"/>
        </w:rPr>
        <w:t>深耕医械医药大健康未来产业、万江锚定新赛道建智能装备综合体，市镇联动因地制宜开辟科技产业新赛道。</w:t>
      </w:r>
    </w:p>
    <w:p>
      <w:pPr>
        <w:spacing w:line="580" w:lineRule="exact"/>
        <w:ind w:firstLine="642" w:firstLineChars="200"/>
        <w:rPr>
          <w:rFonts w:ascii="Times New Roman" w:hAnsi="Times New Roman" w:eastAsia="仿宋_GB2312" w:cs="仿宋_GB2312"/>
          <w:kern w:val="0"/>
          <w:sz w:val="32"/>
          <w:szCs w:val="31"/>
          <w:lang w:bidi="ar"/>
        </w:rPr>
      </w:pPr>
      <w:r>
        <w:rPr>
          <w:rFonts w:hint="eastAsia" w:ascii="Times New Roman" w:hAnsi="Times New Roman" w:eastAsia="仿宋_GB2312" w:cs="仿宋_GB2312"/>
          <w:b/>
          <w:bCs/>
          <w:kern w:val="0"/>
          <w:sz w:val="32"/>
          <w:szCs w:val="31"/>
          <w:lang w:bidi="ar"/>
        </w:rPr>
        <w:t>（七）科技创新支撑产业发展效能</w:t>
      </w:r>
      <w:r>
        <w:rPr>
          <w:rFonts w:hint="eastAsia" w:ascii="Times New Roman" w:hAnsi="Times New Roman" w:eastAsia="仿宋_GB2312" w:cs="仿宋_GB2312"/>
          <w:b/>
          <w:bCs/>
          <w:kern w:val="0"/>
          <w:sz w:val="32"/>
          <w:szCs w:val="31"/>
          <w:u w:val="none"/>
          <w:lang w:bidi="ar"/>
        </w:rPr>
        <w:t>进一步增强</w:t>
      </w:r>
      <w:r>
        <w:rPr>
          <w:rFonts w:hint="eastAsia" w:ascii="Times New Roman" w:hAnsi="Times New Roman" w:eastAsia="仿宋_GB2312" w:cs="仿宋_GB2312"/>
          <w:kern w:val="0"/>
          <w:sz w:val="32"/>
          <w:szCs w:val="31"/>
          <w:u w:val="none"/>
          <w:lang w:bidi="ar"/>
        </w:rPr>
        <w:t>。</w:t>
      </w:r>
      <w:r>
        <w:rPr>
          <w:rFonts w:hint="eastAsia" w:ascii="Times New Roman" w:hAnsi="Times New Roman" w:eastAsia="仿宋_GB2312" w:cs="仿宋_GB2312"/>
          <w:kern w:val="0"/>
          <w:sz w:val="32"/>
          <w:szCs w:val="31"/>
          <w:lang w:bidi="ar"/>
        </w:rPr>
        <w:t>2024年，全市规模以上高技术制造业实现增加值2220.26亿元，2020-2024年复合增长率为5.8%，比规模以上工业增加值复合增长率高1.3个百分点，2024年规模以上高技术制造业增加值占全市规上工业增加值比重为41.6%，比2020年37.9%的比例高3.7个百分点。高技术制造业成为推动全市工业高质量发展的重要组成部分，科技创新赋能产业高质量发展成效明显，有利支撑东莞现代产业体系建设。</w:t>
      </w:r>
    </w:p>
    <w:p>
      <w:pPr>
        <w:spacing w:line="580" w:lineRule="exact"/>
        <w:ind w:firstLine="640" w:firstLineChars="200"/>
        <w:outlineLvl w:val="1"/>
        <w:rPr>
          <w:rFonts w:ascii="楷体_GB2312" w:hAnsi="Times New Roman" w:eastAsia="楷体_GB2312"/>
          <w:sz w:val="32"/>
        </w:rPr>
      </w:pPr>
      <w:bookmarkStart w:id="2" w:name="_Toc219454859"/>
      <w:r>
        <w:rPr>
          <w:rFonts w:hint="eastAsia" w:ascii="楷体_GB2312" w:hAnsi="Times New Roman" w:eastAsia="楷体_GB2312"/>
          <w:sz w:val="32"/>
        </w:rPr>
        <w:t>第二节</w:t>
      </w:r>
      <w:r>
        <w:rPr>
          <w:rFonts w:ascii="楷体_GB2312" w:hAnsi="Times New Roman" w:eastAsia="楷体_GB2312"/>
          <w:sz w:val="32"/>
        </w:rPr>
        <w:t xml:space="preserve"> </w:t>
      </w:r>
      <w:r>
        <w:rPr>
          <w:rFonts w:hint="eastAsia" w:ascii="楷体_GB2312" w:hAnsi="Times New Roman" w:eastAsia="楷体_GB2312"/>
          <w:sz w:val="32"/>
        </w:rPr>
        <w:t>面临形势</w:t>
      </w:r>
      <w:bookmarkEnd w:id="2"/>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全球科技革命和产业变革加速演进，抢抓变革机遇塑造发展新优势是必然要求。</w:t>
      </w:r>
      <w:r>
        <w:rPr>
          <w:rFonts w:hint="eastAsia" w:ascii="Times New Roman" w:hAnsi="Times New Roman" w:eastAsia="仿宋_GB2312"/>
          <w:sz w:val="32"/>
        </w:rPr>
        <w:t>当前，全球科技创新进入密集活跃期，科学研究向极宏观、极微观、极端条件和极综合交叉迈进，集成电路、生物技术、量子科技等已成为全球重点发展领域，人工智能引领科研范式变革，颠覆性技术不断涌现并加速向产业化延伸，深刻改变着人们的生产生活方式。东莞科技创新具有较好基础，拥有电子信息万亿级产业集群以及一批千亿级产业集群，有条件在新一轮科技革命和产业变革中脱颖而出。东莞应当抢抓机遇，提升科技自立自强能力，因地制宜发展新质生产力，奋力抢占科技革命和产业变革制高点，为基本实现中国式现代化奠定坚实科技与产业基础。</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外部发展环境更加复杂多变，加快科技自立自强牢牢把握发展自主权是内在要求。</w:t>
      </w:r>
      <w:r>
        <w:rPr>
          <w:rFonts w:hint="eastAsia" w:ascii="Times New Roman" w:hAnsi="Times New Roman" w:eastAsia="仿宋_GB2312"/>
          <w:sz w:val="32"/>
        </w:rPr>
        <w:t>习近平总书记指出，“世界百年未有之大变局加速演进，科技革命与大国博弈相互交织，高技术领域成为国际竞争最前沿和主战场，深刻重塑全球秩序和发展格局”。围绕科技制高点的争夺空前激烈，科技正在引发国际分工重大调整，各国都在争相布局，加大科技创新投入，力图抢占未来竞争优势地位。东莞作为全国外贸大市，处在中美科技博弈的前沿阵地，随着斗争形势的日趋复杂，受到的影响更为直接，面临的挑战更为严峻，需要加快科技进步步伐，协同国家、省力量与资源推进产业体系更加独立自主、安全可控，全面提升在国际产业链布局中的发展位势，增加抵御外部风险能力。</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城市转型发展已进入关键时期，加快科技创新引领新质生产力培育是现实要求</w:t>
      </w:r>
      <w:r>
        <w:rPr>
          <w:rFonts w:hint="eastAsia" w:ascii="Times New Roman" w:hAnsi="Times New Roman" w:eastAsia="仿宋_GB2312"/>
          <w:sz w:val="32"/>
        </w:rPr>
        <w:t>。目前东莞城市发展正由传统要素驱动向创新驱动、由增量扩张为主向高质量发展为主深度转型，面临着资源环境约束日益趋紧，传统产业结构面临重塑，新兴产业亟需加速迭代增长，区域竞争格局快速演化，城市发展已站在新旧动能接续转换的关键关口。唯有加快推进以科技创新引领的新质生产力培育，扎实推进科技创新与产业创新深度融合，才能为城市培育壮大新质生产力提供坚实支撑，支撑东莞在新一轮城市发展竞争中赢得主动，实现产业规模跃升与城市发展能级提升。</w:t>
      </w:r>
    </w:p>
    <w:p>
      <w:pPr>
        <w:spacing w:line="580" w:lineRule="exact"/>
        <w:ind w:firstLine="640" w:firstLineChars="200"/>
        <w:outlineLvl w:val="1"/>
        <w:rPr>
          <w:rFonts w:ascii="楷体_GB2312" w:hAnsi="Times New Roman" w:eastAsia="楷体_GB2312"/>
          <w:sz w:val="32"/>
        </w:rPr>
      </w:pPr>
      <w:bookmarkStart w:id="3" w:name="_Toc219454860"/>
      <w:r>
        <w:rPr>
          <w:rFonts w:hint="eastAsia" w:ascii="楷体_GB2312" w:hAnsi="Times New Roman" w:eastAsia="楷体_GB2312"/>
          <w:sz w:val="32"/>
        </w:rPr>
        <w:t>第三节</w:t>
      </w:r>
      <w:r>
        <w:rPr>
          <w:rFonts w:ascii="楷体_GB2312" w:hAnsi="Times New Roman" w:eastAsia="楷体_GB2312"/>
          <w:sz w:val="32"/>
        </w:rPr>
        <w:t xml:space="preserve"> </w:t>
      </w:r>
      <w:r>
        <w:rPr>
          <w:rFonts w:hint="eastAsia" w:ascii="楷体_GB2312" w:hAnsi="Times New Roman" w:eastAsia="楷体_GB2312"/>
          <w:sz w:val="32"/>
        </w:rPr>
        <w:t>发展思路</w:t>
      </w:r>
      <w:bookmarkEnd w:id="3"/>
    </w:p>
    <w:p>
      <w:pPr>
        <w:spacing w:line="580" w:lineRule="exact"/>
        <w:ind w:firstLine="640" w:firstLineChars="200"/>
        <w:rPr>
          <w:rFonts w:ascii="楷体_GB2312" w:hAnsi="Times New Roman" w:eastAsia="楷体_GB2312"/>
          <w:sz w:val="32"/>
        </w:rPr>
      </w:pPr>
      <w:r>
        <w:rPr>
          <w:rFonts w:hint="eastAsia" w:ascii="楷体_GB2312" w:hAnsi="Times New Roman" w:eastAsia="楷体_GB2312"/>
          <w:sz w:val="32"/>
        </w:rPr>
        <w:t>一、总体要求</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以习近平新时代中国特色社会主义思想为指导，全面贯彻党的二十大和二十届历次全会精神以及中央关于科技强国建设的重要精神，深入贯彻习近平总书记对广东系列重要讲话和重要指示精神，落实省委“1</w:t>
      </w:r>
      <w:r>
        <w:rPr>
          <w:rFonts w:ascii="Times New Roman" w:hAnsi="Times New Roman" w:eastAsia="仿宋_GB2312"/>
          <w:sz w:val="32"/>
        </w:rPr>
        <w:t>310</w:t>
      </w:r>
      <w:r>
        <w:rPr>
          <w:rFonts w:hint="eastAsia" w:ascii="Times New Roman" w:hAnsi="Times New Roman" w:eastAsia="仿宋_GB2312"/>
          <w:sz w:val="32"/>
        </w:rPr>
        <w:t>”具体部署，围绕“智创优品、和美宜居”的城市发展战略目标，以全面深化科技体制改革为动力，着力强化高质量科技供给、推进科技创新与产业创新深度融合、推进教育科技人才一体化发展、提升科技创新治理能力与水平，加快实现高水平科技自立自强，引领发展新质生产力，建成具有全国影响力的湾区创新高地，为全省基本建成具有全球影响力的产业科技创新中心构筑重要支点，为全省在推进中国现代化建设中走在前列做出东莞贡献。</w:t>
      </w:r>
    </w:p>
    <w:p>
      <w:pPr>
        <w:spacing w:line="580" w:lineRule="exact"/>
        <w:ind w:firstLine="640" w:firstLineChars="200"/>
        <w:rPr>
          <w:rFonts w:ascii="楷体_GB2312" w:hAnsi="Times New Roman" w:eastAsia="楷体_GB2312"/>
          <w:sz w:val="32"/>
        </w:rPr>
      </w:pPr>
      <w:r>
        <w:rPr>
          <w:rFonts w:hint="eastAsia" w:ascii="楷体_GB2312" w:hAnsi="Times New Roman" w:eastAsia="楷体_GB2312"/>
          <w:sz w:val="32"/>
        </w:rPr>
        <w:t>二、基本原则</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自主创新，自立自强。</w:t>
      </w:r>
      <w:r>
        <w:rPr>
          <w:rFonts w:hint="eastAsia" w:ascii="Times New Roman" w:hAnsi="Times New Roman" w:eastAsia="仿宋_GB2312"/>
          <w:sz w:val="32"/>
        </w:rPr>
        <w:t>主动服务国家战略需求，聚焦产业升级创新需求，坚持目标导向和问题导向相结合，加大力度推进产业关键核心技术攻关，大幅提升自主创新能力，把产业升级发展的主动权掌握在自己手里。</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科产融合，引领发展。</w:t>
      </w:r>
      <w:r>
        <w:rPr>
          <w:rFonts w:hint="eastAsia" w:ascii="Times New Roman" w:hAnsi="Times New Roman" w:eastAsia="仿宋_GB2312"/>
          <w:sz w:val="32"/>
        </w:rPr>
        <w:t>纵深推进科技创新与产业创新深度融合，大幅增加高质量科技供给、强化企业科技创新主体地位、促进科技成果转化应用，迅速将科技创新的突破转化为产业升级发展的助推器。</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有效市场，有为政府</w:t>
      </w:r>
      <w:r>
        <w:rPr>
          <w:rFonts w:hint="eastAsia" w:ascii="Times New Roman" w:hAnsi="Times New Roman" w:eastAsia="仿宋_GB2312"/>
          <w:sz w:val="32"/>
        </w:rPr>
        <w:t>。充分发挥市场在资源配置中的决定性作用，更好发挥政府作用。深入建设全国统一大市场，主要通过市场化方式促进创新资源向企业集聚，让优秀企业“跑”出来。着力发挥政府“有形之手”力量，进一步在科技创新基础设施、科技公共服务、科技创新氛围等方面“补短板”“筑长板”。</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守正创新，改革保障</w:t>
      </w:r>
      <w:r>
        <w:rPr>
          <w:rFonts w:hint="eastAsia" w:ascii="Times New Roman" w:hAnsi="Times New Roman" w:eastAsia="仿宋_GB2312"/>
          <w:sz w:val="32"/>
        </w:rPr>
        <w:t>。坚持党对科技事业的全面领导，保证科技事业始终沿着正确方向前进。坚持以深化改革激发创新活力，坚决破除束缚科技创新的思想观念和体制机制障碍，切实把制度优势转化为科技竞争优势。</w:t>
      </w:r>
    </w:p>
    <w:p>
      <w:pPr>
        <w:spacing w:line="580" w:lineRule="exact"/>
        <w:ind w:firstLine="640" w:firstLineChars="200"/>
        <w:rPr>
          <w:rFonts w:ascii="楷体_GB2312" w:hAnsi="Times New Roman" w:eastAsia="楷体_GB2312"/>
          <w:sz w:val="32"/>
        </w:rPr>
      </w:pPr>
      <w:r>
        <w:rPr>
          <w:rFonts w:hint="eastAsia" w:ascii="楷体_GB2312" w:hAnsi="Times New Roman" w:eastAsia="楷体_GB2312"/>
          <w:sz w:val="32"/>
        </w:rPr>
        <w:t>三、发展目标</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到2030年，东莞市科技创新综合实力显著提升，主要创新指标稳居全国地级市前列，科技创新体系整体效能大幅提高，打造科技创新和产业创新深度融合示范城市，建设成为具有全国影响力的湾区创新高地。</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——源头创新能力显著提升</w:t>
      </w:r>
      <w:r>
        <w:rPr>
          <w:rFonts w:hint="eastAsia" w:ascii="Times New Roman" w:hAnsi="Times New Roman" w:eastAsia="仿宋_GB2312"/>
          <w:sz w:val="32"/>
        </w:rPr>
        <w:t>。</w:t>
      </w:r>
      <w:r>
        <w:rPr>
          <w:rFonts w:hint="eastAsia" w:ascii="Times New Roman" w:hAnsi="Times New Roman" w:eastAsia="仿宋_GB2312"/>
          <w:sz w:val="32"/>
          <w:shd w:val="clear" w:color="auto" w:fill="auto"/>
        </w:rPr>
        <w:t>重大科技基础设施</w:t>
      </w:r>
      <w:r>
        <w:rPr>
          <w:rFonts w:hint="eastAsia" w:ascii="Times New Roman" w:hAnsi="Times New Roman" w:eastAsia="仿宋_GB2312"/>
          <w:sz w:val="32"/>
        </w:rPr>
        <w:t>建设基本完成，科研支撑能力大幅增强，技术溢出</w:t>
      </w:r>
      <w:r>
        <w:rPr>
          <w:rFonts w:hint="eastAsia" w:ascii="Times New Roman" w:hAnsi="Times New Roman" w:eastAsia="仿宋_GB2312"/>
          <w:sz w:val="32"/>
          <w:shd w:val="clear" w:color="auto" w:fill="auto"/>
        </w:rPr>
        <w:t>效应</w:t>
      </w:r>
      <w:r>
        <w:rPr>
          <w:rFonts w:hint="eastAsia" w:ascii="Times New Roman" w:hAnsi="Times New Roman" w:eastAsia="仿宋_GB2312"/>
          <w:sz w:val="32"/>
        </w:rPr>
        <w:t>显著提升</w:t>
      </w:r>
      <w:r>
        <w:rPr>
          <w:rFonts w:hint="eastAsia" w:ascii="Times New Roman" w:hAnsi="Times New Roman" w:eastAsia="仿宋_GB2312"/>
          <w:sz w:val="32"/>
          <w:shd w:val="clear" w:color="auto" w:fill="auto"/>
        </w:rPr>
        <w:t>，科研机构体系更加完善，高质量科技供给能力显著提升。</w:t>
      </w:r>
      <w:r>
        <w:rPr>
          <w:rFonts w:hint="eastAsia" w:ascii="Times New Roman" w:hAnsi="Times New Roman" w:eastAsia="仿宋_GB2312"/>
          <w:sz w:val="32"/>
        </w:rPr>
        <w:t>到2</w:t>
      </w:r>
      <w:r>
        <w:rPr>
          <w:rFonts w:ascii="Times New Roman" w:hAnsi="Times New Roman" w:eastAsia="仿宋_GB2312"/>
          <w:sz w:val="32"/>
        </w:rPr>
        <w:t>030</w:t>
      </w:r>
      <w:r>
        <w:rPr>
          <w:rFonts w:hint="eastAsia" w:ascii="Times New Roman" w:hAnsi="Times New Roman" w:eastAsia="仿宋_GB2312"/>
          <w:sz w:val="32"/>
        </w:rPr>
        <w:t>年，全市全社会研发投入强度提升至</w:t>
      </w:r>
      <w:r>
        <w:rPr>
          <w:rFonts w:ascii="Times New Roman" w:hAnsi="Times New Roman" w:eastAsia="仿宋_GB2312"/>
          <w:sz w:val="32"/>
        </w:rPr>
        <w:t>4.1%</w:t>
      </w:r>
      <w:r>
        <w:rPr>
          <w:rFonts w:hint="eastAsia" w:ascii="Times New Roman" w:hAnsi="Times New Roman" w:eastAsia="仿宋_GB2312"/>
          <w:sz w:val="32"/>
        </w:rPr>
        <w:t>左右，全社会基础研究经费投入占研发经费比重达到</w:t>
      </w:r>
      <w:r>
        <w:rPr>
          <w:rFonts w:ascii="Times New Roman" w:hAnsi="Times New Roman" w:eastAsia="仿宋_GB2312"/>
          <w:sz w:val="32"/>
        </w:rPr>
        <w:t>2.5%</w:t>
      </w:r>
      <w:r>
        <w:rPr>
          <w:rFonts w:hint="eastAsia" w:ascii="Times New Roman" w:hAnsi="Times New Roman" w:eastAsia="仿宋_GB2312"/>
          <w:sz w:val="32"/>
        </w:rPr>
        <w:t>左右，在若干重要科学前沿、颠覆性技术领域形成一批重大原创性科技成果。</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——技术攻关能力显著提升</w:t>
      </w:r>
      <w:r>
        <w:rPr>
          <w:rFonts w:hint="eastAsia" w:ascii="Times New Roman" w:hAnsi="Times New Roman" w:eastAsia="仿宋_GB2312"/>
          <w:sz w:val="32"/>
        </w:rPr>
        <w:t>。关键核心技术攻关组织方式进一步完善，攻关效能进一步提升，攻克一批产业核心技术、关键零部件与重大装备短板。到2</w:t>
      </w:r>
      <w:r>
        <w:rPr>
          <w:rFonts w:ascii="Times New Roman" w:hAnsi="Times New Roman" w:eastAsia="仿宋_GB2312"/>
          <w:sz w:val="32"/>
        </w:rPr>
        <w:t>030</w:t>
      </w:r>
      <w:r>
        <w:rPr>
          <w:rFonts w:hint="eastAsia" w:ascii="Times New Roman" w:hAnsi="Times New Roman" w:eastAsia="仿宋_GB2312"/>
          <w:sz w:val="32"/>
        </w:rPr>
        <w:t>年，全市每万人口高价值发明专利拥有量超过43件，技术合同成交额超过</w:t>
      </w:r>
      <w:r>
        <w:rPr>
          <w:rFonts w:ascii="Times New Roman" w:hAnsi="Times New Roman" w:eastAsia="仿宋_GB2312"/>
          <w:sz w:val="32"/>
        </w:rPr>
        <w:t>200</w:t>
      </w:r>
      <w:r>
        <w:rPr>
          <w:rFonts w:hint="eastAsia" w:ascii="Times New Roman" w:hAnsi="Times New Roman" w:eastAsia="仿宋_GB2312"/>
          <w:sz w:val="32"/>
        </w:rPr>
        <w:t>亿元。</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——引领发展能力显著提升</w:t>
      </w:r>
      <w:r>
        <w:rPr>
          <w:rFonts w:hint="eastAsia" w:ascii="Times New Roman" w:hAnsi="Times New Roman" w:eastAsia="仿宋_GB2312"/>
          <w:sz w:val="32"/>
        </w:rPr>
        <w:t>。企业科技创新主体地位进一步增强，科技成果转化体系更加完善，转化效能有效提升，全市战略性新兴产业与未来产业集群规模显著提升，新质生产力培育取得显著成效。到2</w:t>
      </w:r>
      <w:r>
        <w:rPr>
          <w:rFonts w:ascii="Times New Roman" w:hAnsi="Times New Roman" w:eastAsia="仿宋_GB2312"/>
          <w:sz w:val="32"/>
        </w:rPr>
        <w:t>030</w:t>
      </w:r>
      <w:r>
        <w:rPr>
          <w:rFonts w:hint="eastAsia" w:ascii="Times New Roman" w:hAnsi="Times New Roman" w:eastAsia="仿宋_GB2312"/>
          <w:sz w:val="32"/>
        </w:rPr>
        <w:t>年，全市规模以上</w:t>
      </w:r>
      <w:r>
        <w:rPr>
          <w:rFonts w:hint="eastAsia" w:ascii="Times New Roman" w:hAnsi="Times New Roman" w:eastAsia="仿宋_GB2312"/>
          <w:sz w:val="32"/>
          <w:lang w:eastAsia="zh-CN"/>
        </w:rPr>
        <w:t>工业</w:t>
      </w:r>
      <w:r>
        <w:rPr>
          <w:rFonts w:hint="eastAsia" w:ascii="Times New Roman" w:hAnsi="Times New Roman" w:eastAsia="仿宋_GB2312"/>
          <w:sz w:val="32"/>
        </w:rPr>
        <w:t>高新技术企业数超过6</w:t>
      </w:r>
      <w:r>
        <w:rPr>
          <w:rFonts w:ascii="Times New Roman" w:hAnsi="Times New Roman" w:eastAsia="仿宋_GB2312"/>
          <w:sz w:val="32"/>
        </w:rPr>
        <w:t>500</w:t>
      </w:r>
      <w:r>
        <w:rPr>
          <w:rFonts w:hint="eastAsia" w:ascii="Times New Roman" w:hAnsi="Times New Roman" w:eastAsia="仿宋_GB2312"/>
          <w:sz w:val="32"/>
        </w:rPr>
        <w:t>家，科技服务业营业收入超过2</w:t>
      </w:r>
      <w:r>
        <w:rPr>
          <w:rFonts w:ascii="Times New Roman" w:hAnsi="Times New Roman" w:eastAsia="仿宋_GB2312"/>
          <w:sz w:val="32"/>
        </w:rPr>
        <w:t>00</w:t>
      </w:r>
      <w:r>
        <w:rPr>
          <w:rFonts w:hint="eastAsia" w:ascii="Times New Roman" w:hAnsi="Times New Roman" w:eastAsia="仿宋_GB2312"/>
          <w:sz w:val="32"/>
        </w:rPr>
        <w:t>亿元；全市高技术制造业增加值占规上工业增加值比重达到4</w:t>
      </w:r>
      <w:r>
        <w:rPr>
          <w:rFonts w:ascii="Times New Roman" w:hAnsi="Times New Roman" w:eastAsia="仿宋_GB2312"/>
          <w:sz w:val="32"/>
        </w:rPr>
        <w:t>4%</w:t>
      </w:r>
      <w:r>
        <w:rPr>
          <w:rFonts w:hint="eastAsia" w:ascii="Times New Roman" w:hAnsi="Times New Roman" w:eastAsia="仿宋_GB2312"/>
          <w:sz w:val="32"/>
        </w:rPr>
        <w:t>，数字经济核心产业增加值占G</w:t>
      </w:r>
      <w:r>
        <w:rPr>
          <w:rFonts w:ascii="Times New Roman" w:hAnsi="Times New Roman" w:eastAsia="仿宋_GB2312"/>
          <w:sz w:val="32"/>
        </w:rPr>
        <w:t>DP</w:t>
      </w:r>
      <w:r>
        <w:rPr>
          <w:rFonts w:hint="eastAsia" w:ascii="Times New Roman" w:hAnsi="Times New Roman" w:eastAsia="仿宋_GB2312"/>
          <w:sz w:val="32"/>
        </w:rPr>
        <w:t>比重达到25</w:t>
      </w:r>
      <w:r>
        <w:rPr>
          <w:rFonts w:ascii="Times New Roman" w:hAnsi="Times New Roman" w:eastAsia="仿宋_GB2312"/>
          <w:sz w:val="32"/>
        </w:rPr>
        <w:t>%</w:t>
      </w:r>
      <w:r>
        <w:rPr>
          <w:rFonts w:hint="eastAsia" w:ascii="Times New Roman" w:hAnsi="Times New Roman" w:eastAsia="仿宋_GB2312"/>
          <w:sz w:val="32"/>
        </w:rPr>
        <w:t>，培育出一批新的战略性新兴产业集群与未来产业集群。</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——人才集聚能力显著提升</w:t>
      </w:r>
      <w:r>
        <w:rPr>
          <w:rFonts w:hint="eastAsia" w:ascii="Times New Roman" w:hAnsi="Times New Roman" w:eastAsia="仿宋_GB2312"/>
          <w:sz w:val="32"/>
        </w:rPr>
        <w:t>。人才强市建设取得突破性进展，“战略科学家-科技领军人才和科研团队-青年科技人才-卓越工程师队伍”科技人才发展梯队日益完善，人才引领支撑产业高质量发展效应凸显。到2</w:t>
      </w:r>
      <w:r>
        <w:rPr>
          <w:rFonts w:ascii="Times New Roman" w:hAnsi="Times New Roman" w:eastAsia="仿宋_GB2312"/>
          <w:sz w:val="32"/>
        </w:rPr>
        <w:t>030</w:t>
      </w:r>
      <w:r>
        <w:rPr>
          <w:rFonts w:hint="eastAsia" w:ascii="Times New Roman" w:hAnsi="Times New Roman" w:eastAsia="仿宋_GB2312"/>
          <w:sz w:val="32"/>
        </w:rPr>
        <w:t>年，全市每万</w:t>
      </w:r>
      <w:r>
        <w:rPr>
          <w:rFonts w:hint="eastAsia" w:ascii="Times New Roman" w:hAnsi="Times New Roman" w:eastAsia="仿宋_GB2312"/>
          <w:sz w:val="32"/>
          <w:lang w:eastAsia="zh-CN"/>
        </w:rPr>
        <w:t>名</w:t>
      </w:r>
      <w:r>
        <w:rPr>
          <w:rFonts w:hint="eastAsia" w:ascii="Times New Roman" w:hAnsi="Times New Roman" w:eastAsia="仿宋_GB2312"/>
          <w:sz w:val="32"/>
        </w:rPr>
        <w:t>就业人员中研发人员超过</w:t>
      </w:r>
      <w:r>
        <w:rPr>
          <w:rFonts w:ascii="Times New Roman" w:hAnsi="Times New Roman" w:eastAsia="仿宋_GB2312"/>
          <w:sz w:val="32"/>
        </w:rPr>
        <w:t>250</w:t>
      </w:r>
      <w:r>
        <w:rPr>
          <w:rFonts w:hint="eastAsia" w:ascii="Times New Roman" w:hAnsi="Times New Roman" w:eastAsia="仿宋_GB2312"/>
          <w:sz w:val="32"/>
        </w:rPr>
        <w:t>人</w:t>
      </w:r>
      <w:r>
        <w:rPr>
          <w:rFonts w:hint="eastAsia" w:ascii="Times New Roman" w:hAnsi="Times New Roman" w:eastAsia="仿宋_GB2312"/>
          <w:sz w:val="32"/>
          <w:lang w:eastAsia="zh-CN"/>
        </w:rPr>
        <w:t>年</w:t>
      </w:r>
      <w:r>
        <w:rPr>
          <w:rFonts w:hint="eastAsia" w:ascii="Times New Roman" w:hAnsi="Times New Roman" w:eastAsia="仿宋_GB2312"/>
          <w:sz w:val="32"/>
        </w:rPr>
        <w:t>。</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——创新治理能力显著提升</w:t>
      </w:r>
      <w:r>
        <w:rPr>
          <w:rFonts w:hint="eastAsia" w:ascii="Times New Roman" w:hAnsi="Times New Roman" w:eastAsia="仿宋_GB2312"/>
          <w:sz w:val="32"/>
        </w:rPr>
        <w:t>。科技对外交流与合作机制更加完善，开放创新能力显著增强。科技治理体系更加健全、治理能力现代化水平显著提升。全社会创新意识和创新文化进一步弘扬。到2</w:t>
      </w:r>
      <w:r>
        <w:rPr>
          <w:rFonts w:ascii="Times New Roman" w:hAnsi="Times New Roman" w:eastAsia="仿宋_GB2312"/>
          <w:sz w:val="32"/>
        </w:rPr>
        <w:t>030</w:t>
      </w:r>
      <w:r>
        <w:rPr>
          <w:rFonts w:hint="eastAsia" w:ascii="Times New Roman" w:hAnsi="Times New Roman" w:eastAsia="仿宋_GB2312"/>
          <w:sz w:val="32"/>
        </w:rPr>
        <w:t>年，全市公民具备科学素质比例超过2</w:t>
      </w:r>
      <w:r>
        <w:rPr>
          <w:rFonts w:ascii="Times New Roman" w:hAnsi="Times New Roman" w:eastAsia="仿宋_GB2312"/>
          <w:sz w:val="32"/>
        </w:rPr>
        <w:t>0%</w:t>
      </w:r>
      <w:r>
        <w:rPr>
          <w:rFonts w:hint="eastAsia" w:ascii="Times New Roman" w:hAnsi="Times New Roman" w:eastAsia="仿宋_GB2312"/>
          <w:sz w:val="32"/>
        </w:rPr>
        <w:t>。</w:t>
      </w:r>
    </w:p>
    <w:p>
      <w:pPr>
        <w:pStyle w:val="2"/>
        <w:keepNext/>
        <w:spacing w:line="440" w:lineRule="exact"/>
        <w:ind w:firstLine="0" w:firstLineChars="0"/>
        <w:jc w:val="center"/>
        <w:rPr>
          <w:rFonts w:ascii="Times New Roman" w:hAnsi="Times New Roman" w:eastAsia="楷体_GB2312"/>
          <w:b/>
          <w:sz w:val="30"/>
          <w:szCs w:val="30"/>
        </w:rPr>
      </w:pPr>
      <w:r>
        <w:rPr>
          <w:rFonts w:hint="eastAsia" w:ascii="Times New Roman" w:hAnsi="Times New Roman" w:eastAsia="楷体_GB2312"/>
          <w:b/>
          <w:sz w:val="30"/>
          <w:szCs w:val="30"/>
        </w:rPr>
        <w:t>表</w:t>
      </w:r>
      <w:r>
        <w:rPr>
          <w:rFonts w:hint="eastAsia" w:ascii="Times New Roman" w:hAnsi="Times New Roman" w:eastAsia="楷体_GB2312"/>
          <w:b/>
          <w:sz w:val="30"/>
          <w:szCs w:val="30"/>
        </w:rPr>
        <w:fldChar w:fldCharType="begin"/>
      </w:r>
      <w:r>
        <w:rPr>
          <w:rFonts w:ascii="Times New Roman" w:hAnsi="Times New Roman" w:eastAsia="楷体_GB2312"/>
          <w:b/>
          <w:sz w:val="30"/>
          <w:szCs w:val="30"/>
        </w:rPr>
        <w:instrText xml:space="preserve"> SEQ </w:instrText>
      </w:r>
      <w:r>
        <w:rPr>
          <w:rFonts w:hint="eastAsia" w:ascii="Times New Roman" w:hAnsi="Times New Roman" w:eastAsia="楷体_GB2312"/>
          <w:b/>
          <w:sz w:val="30"/>
          <w:szCs w:val="30"/>
        </w:rPr>
        <w:instrText xml:space="preserve">表格</w:instrText>
      </w:r>
      <w:r>
        <w:rPr>
          <w:rFonts w:ascii="Times New Roman" w:hAnsi="Times New Roman" w:eastAsia="楷体_GB2312"/>
          <w:b/>
          <w:sz w:val="30"/>
          <w:szCs w:val="30"/>
        </w:rPr>
        <w:instrText xml:space="preserve"> \* ARABIC </w:instrText>
      </w:r>
      <w:r>
        <w:rPr>
          <w:rFonts w:hint="eastAsia" w:ascii="Times New Roman" w:hAnsi="Times New Roman" w:eastAsia="楷体_GB2312"/>
          <w:b/>
          <w:sz w:val="30"/>
          <w:szCs w:val="30"/>
        </w:rPr>
        <w:fldChar w:fldCharType="separate"/>
      </w:r>
      <w:r>
        <w:rPr>
          <w:rFonts w:ascii="Times New Roman" w:hAnsi="Times New Roman" w:eastAsia="楷体_GB2312"/>
          <w:b/>
          <w:sz w:val="30"/>
          <w:szCs w:val="30"/>
        </w:rPr>
        <w:t>1</w:t>
      </w:r>
      <w:r>
        <w:rPr>
          <w:rFonts w:hint="eastAsia" w:ascii="Times New Roman" w:hAnsi="Times New Roman" w:eastAsia="楷体_GB2312"/>
          <w:b/>
          <w:sz w:val="30"/>
          <w:szCs w:val="30"/>
        </w:rPr>
        <w:fldChar w:fldCharType="end"/>
      </w:r>
      <w:r>
        <w:rPr>
          <w:rFonts w:hint="eastAsia" w:ascii="Times New Roman" w:hAnsi="Times New Roman" w:eastAsia="楷体_GB2312"/>
          <w:b/>
          <w:sz w:val="30"/>
          <w:szCs w:val="30"/>
        </w:rPr>
        <w:t>：“十五五”期间东莞科技创新主要目标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4918"/>
        <w:gridCol w:w="709"/>
        <w:gridCol w:w="85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Mar>
              <w:top w:w="23" w:type="dxa"/>
              <w:left w:w="23" w:type="dxa"/>
              <w:bottom w:w="0" w:type="dxa"/>
              <w:right w:w="23" w:type="dxa"/>
            </w:tcMar>
          </w:tcPr>
          <w:p>
            <w:pPr>
              <w:widowControl/>
              <w:spacing w:line="440" w:lineRule="exact"/>
              <w:jc w:val="center"/>
              <w:rPr>
                <w:rFonts w:ascii="Times New Roman" w:hAnsi="Times New Roman" w:eastAsia="楷体_GB2312" w:cs="宋体"/>
                <w:b/>
                <w:bCs/>
                <w:kern w:val="0"/>
                <w:sz w:val="28"/>
                <w:szCs w:val="28"/>
              </w:rPr>
            </w:pPr>
            <w:r>
              <w:rPr>
                <w:rFonts w:hint="eastAsia" w:ascii="Times New Roman" w:hAnsi="Times New Roman" w:eastAsia="楷体_GB2312" w:cs="宋体"/>
                <w:b/>
                <w:bCs/>
                <w:kern w:val="0"/>
                <w:sz w:val="28"/>
                <w:szCs w:val="28"/>
              </w:rPr>
              <w:t>序号</w:t>
            </w:r>
          </w:p>
        </w:tc>
        <w:tc>
          <w:tcPr>
            <w:tcW w:w="4918" w:type="dxa"/>
            <w:tcMar>
              <w:top w:w="23" w:type="dxa"/>
              <w:left w:w="23" w:type="dxa"/>
              <w:bottom w:w="0" w:type="dxa"/>
              <w:right w:w="23" w:type="dxa"/>
            </w:tcMar>
          </w:tcPr>
          <w:p>
            <w:pPr>
              <w:widowControl/>
              <w:spacing w:line="440" w:lineRule="exact"/>
              <w:jc w:val="center"/>
              <w:rPr>
                <w:rFonts w:ascii="Times New Roman" w:hAnsi="Times New Roman" w:eastAsia="楷体_GB2312" w:cs="宋体"/>
                <w:b/>
                <w:bCs/>
                <w:kern w:val="0"/>
                <w:sz w:val="28"/>
                <w:szCs w:val="28"/>
              </w:rPr>
            </w:pPr>
            <w:r>
              <w:rPr>
                <w:rFonts w:hint="eastAsia" w:ascii="Times New Roman" w:hAnsi="Times New Roman" w:eastAsia="楷体_GB2312" w:cs="宋体"/>
                <w:b/>
                <w:bCs/>
                <w:kern w:val="0"/>
                <w:sz w:val="28"/>
                <w:szCs w:val="28"/>
              </w:rPr>
              <w:t>指标名称</w:t>
            </w:r>
          </w:p>
        </w:tc>
        <w:tc>
          <w:tcPr>
            <w:tcW w:w="709" w:type="dxa"/>
            <w:tcMar>
              <w:top w:w="23" w:type="dxa"/>
              <w:left w:w="23" w:type="dxa"/>
              <w:bottom w:w="0" w:type="dxa"/>
              <w:right w:w="23" w:type="dxa"/>
            </w:tcMar>
          </w:tcPr>
          <w:p>
            <w:pPr>
              <w:widowControl/>
              <w:spacing w:line="440" w:lineRule="exact"/>
              <w:jc w:val="center"/>
              <w:rPr>
                <w:rFonts w:ascii="Times New Roman" w:hAnsi="Times New Roman" w:eastAsia="楷体_GB2312" w:cs="Calibri"/>
                <w:b/>
                <w:bCs/>
                <w:kern w:val="0"/>
                <w:sz w:val="28"/>
                <w:szCs w:val="28"/>
              </w:rPr>
            </w:pPr>
            <w:r>
              <w:rPr>
                <w:rFonts w:hint="eastAsia" w:ascii="Times New Roman" w:hAnsi="Times New Roman" w:eastAsia="楷体_GB2312" w:cs="Calibri"/>
                <w:b/>
                <w:bCs/>
                <w:kern w:val="0"/>
                <w:sz w:val="28"/>
                <w:szCs w:val="28"/>
              </w:rPr>
              <w:t>单位</w:t>
            </w:r>
          </w:p>
        </w:tc>
        <w:tc>
          <w:tcPr>
            <w:tcW w:w="851" w:type="dxa"/>
            <w:tcMar>
              <w:top w:w="23" w:type="dxa"/>
              <w:left w:w="23" w:type="dxa"/>
              <w:bottom w:w="0" w:type="dxa"/>
              <w:right w:w="23" w:type="dxa"/>
            </w:tcMar>
          </w:tcPr>
          <w:p>
            <w:pPr>
              <w:widowControl/>
              <w:spacing w:line="440" w:lineRule="exact"/>
              <w:jc w:val="center"/>
              <w:rPr>
                <w:rFonts w:ascii="Times New Roman" w:hAnsi="Times New Roman" w:eastAsia="楷体_GB2312" w:cs="Calibri"/>
                <w:b/>
                <w:bCs/>
                <w:kern w:val="0"/>
                <w:sz w:val="28"/>
                <w:szCs w:val="28"/>
              </w:rPr>
            </w:pPr>
            <w:r>
              <w:rPr>
                <w:rFonts w:hint="eastAsia" w:ascii="Times New Roman" w:hAnsi="Times New Roman" w:eastAsia="楷体_GB2312" w:cs="Calibri"/>
                <w:b/>
                <w:bCs/>
                <w:kern w:val="0"/>
                <w:sz w:val="28"/>
                <w:szCs w:val="28"/>
              </w:rPr>
              <w:t>现值</w:t>
            </w:r>
          </w:p>
        </w:tc>
        <w:tc>
          <w:tcPr>
            <w:tcW w:w="1127" w:type="dxa"/>
            <w:tcMar>
              <w:top w:w="23" w:type="dxa"/>
              <w:left w:w="23" w:type="dxa"/>
              <w:bottom w:w="0" w:type="dxa"/>
              <w:right w:w="23" w:type="dxa"/>
            </w:tcMar>
          </w:tcPr>
          <w:p>
            <w:pPr>
              <w:widowControl/>
              <w:spacing w:line="440" w:lineRule="exact"/>
              <w:jc w:val="center"/>
              <w:rPr>
                <w:rFonts w:ascii="Times New Roman" w:hAnsi="Times New Roman" w:eastAsia="楷体_GB2312" w:cs="Calibri"/>
                <w:b/>
                <w:bCs/>
                <w:kern w:val="0"/>
                <w:sz w:val="28"/>
                <w:szCs w:val="28"/>
              </w:rPr>
            </w:pPr>
            <w:r>
              <w:rPr>
                <w:rFonts w:ascii="Times New Roman" w:hAnsi="Times New Roman" w:eastAsia="楷体_GB2312" w:cs="Calibri"/>
                <w:b/>
                <w:bCs/>
                <w:kern w:val="0"/>
                <w:sz w:val="28"/>
                <w:szCs w:val="28"/>
              </w:rPr>
              <w:t>2030</w:t>
            </w:r>
            <w:r>
              <w:rPr>
                <w:rFonts w:hint="eastAsia" w:ascii="Times New Roman" w:hAnsi="Times New Roman" w:eastAsia="楷体_GB2312" w:cs="Calibri"/>
                <w:b/>
                <w:bCs/>
                <w:kern w:val="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1</w:t>
            </w:r>
          </w:p>
        </w:tc>
        <w:tc>
          <w:tcPr>
            <w:tcW w:w="4918" w:type="dxa"/>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全社会研发投入强度</w:t>
            </w:r>
          </w:p>
        </w:tc>
        <w:tc>
          <w:tcPr>
            <w:tcW w:w="709"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w:t>
            </w:r>
          </w:p>
        </w:tc>
        <w:tc>
          <w:tcPr>
            <w:tcW w:w="851"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4.01</w:t>
            </w:r>
          </w:p>
        </w:tc>
        <w:tc>
          <w:tcPr>
            <w:tcW w:w="112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4.1</w:t>
            </w:r>
            <w:r>
              <w:rPr>
                <w:rFonts w:hint="eastAsia" w:ascii="Times New Roman" w:hAnsi="Times New Roman" w:eastAsia="楷体_GB2312" w:cs="Times New Roman"/>
                <w:kern w:val="0"/>
                <w:sz w:val="28"/>
                <w:szCs w:val="28"/>
              </w:rPr>
              <w:t>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2</w:t>
            </w:r>
          </w:p>
        </w:tc>
        <w:tc>
          <w:tcPr>
            <w:tcW w:w="4918" w:type="dxa"/>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全社会基础研究经费投入</w:t>
            </w:r>
          </w:p>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占研发经费比重</w:t>
            </w:r>
          </w:p>
        </w:tc>
        <w:tc>
          <w:tcPr>
            <w:tcW w:w="709"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w:t>
            </w:r>
          </w:p>
        </w:tc>
        <w:tc>
          <w:tcPr>
            <w:tcW w:w="851"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1.58</w:t>
            </w:r>
          </w:p>
        </w:tc>
        <w:tc>
          <w:tcPr>
            <w:tcW w:w="112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2.5</w:t>
            </w:r>
            <w:r>
              <w:rPr>
                <w:rFonts w:hint="eastAsia" w:ascii="Times New Roman" w:hAnsi="Times New Roman" w:eastAsia="楷体_GB2312" w:cs="Times New Roman"/>
                <w:kern w:val="0"/>
                <w:sz w:val="28"/>
                <w:szCs w:val="28"/>
              </w:rPr>
              <w:t>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3</w:t>
            </w:r>
          </w:p>
        </w:tc>
        <w:tc>
          <w:tcPr>
            <w:tcW w:w="4918" w:type="dxa"/>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每万</w:t>
            </w:r>
            <w:r>
              <w:rPr>
                <w:rFonts w:hint="eastAsia" w:ascii="Times New Roman" w:hAnsi="Times New Roman" w:eastAsia="楷体_GB2312" w:cs="宋体"/>
                <w:kern w:val="0"/>
                <w:sz w:val="28"/>
                <w:szCs w:val="28"/>
                <w:lang w:eastAsia="zh-CN"/>
              </w:rPr>
              <w:t>名</w:t>
            </w:r>
            <w:r>
              <w:rPr>
                <w:rFonts w:hint="eastAsia" w:ascii="Times New Roman" w:hAnsi="Times New Roman" w:eastAsia="楷体_GB2312" w:cs="宋体"/>
                <w:kern w:val="0"/>
                <w:sz w:val="28"/>
                <w:szCs w:val="28"/>
              </w:rPr>
              <w:t>就业人员中研发人员数</w:t>
            </w:r>
          </w:p>
        </w:tc>
        <w:tc>
          <w:tcPr>
            <w:tcW w:w="709" w:type="dxa"/>
            <w:tcMar>
              <w:top w:w="23" w:type="dxa"/>
              <w:left w:w="23" w:type="dxa"/>
              <w:bottom w:w="0" w:type="dxa"/>
              <w:right w:w="23" w:type="dxa"/>
            </w:tcMar>
            <w:vAlign w:val="center"/>
          </w:tcPr>
          <w:p>
            <w:pPr>
              <w:widowControl/>
              <w:spacing w:line="440" w:lineRule="exact"/>
              <w:jc w:val="center"/>
              <w:rPr>
                <w:rFonts w:hint="eastAsia" w:ascii="Times New Roman" w:hAnsi="Times New Roman" w:eastAsia="楷体_GB2312" w:cs="Times New Roman"/>
                <w:kern w:val="0"/>
                <w:sz w:val="28"/>
                <w:szCs w:val="28"/>
                <w:lang w:eastAsia="zh-CN"/>
              </w:rPr>
            </w:pPr>
            <w:r>
              <w:rPr>
                <w:rFonts w:hint="eastAsia" w:ascii="Times New Roman" w:hAnsi="Times New Roman" w:eastAsia="楷体_GB2312" w:cs="Times New Roman"/>
                <w:kern w:val="0"/>
                <w:sz w:val="28"/>
                <w:szCs w:val="28"/>
              </w:rPr>
              <w:t>人</w:t>
            </w:r>
            <w:r>
              <w:rPr>
                <w:rFonts w:hint="eastAsia" w:ascii="Times New Roman" w:hAnsi="Times New Roman" w:eastAsia="楷体_GB2312" w:cs="Times New Roman"/>
                <w:kern w:val="0"/>
                <w:sz w:val="28"/>
                <w:szCs w:val="28"/>
                <w:lang w:eastAsia="zh-CN"/>
              </w:rPr>
              <w:t>年</w:t>
            </w:r>
          </w:p>
        </w:tc>
        <w:tc>
          <w:tcPr>
            <w:tcW w:w="851"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247</w:t>
            </w:r>
          </w:p>
        </w:tc>
        <w:tc>
          <w:tcPr>
            <w:tcW w:w="112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4</w:t>
            </w:r>
          </w:p>
        </w:tc>
        <w:tc>
          <w:tcPr>
            <w:tcW w:w="4918" w:type="dxa"/>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每万人口高价值发明专利拥有量</w:t>
            </w:r>
          </w:p>
        </w:tc>
        <w:tc>
          <w:tcPr>
            <w:tcW w:w="709"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hint="eastAsia" w:ascii="Times New Roman" w:hAnsi="Times New Roman" w:eastAsia="楷体_GB2312" w:cs="Times New Roman"/>
                <w:kern w:val="0"/>
                <w:sz w:val="28"/>
                <w:szCs w:val="28"/>
              </w:rPr>
              <w:t>件</w:t>
            </w:r>
          </w:p>
        </w:tc>
        <w:tc>
          <w:tcPr>
            <w:tcW w:w="851"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34.33</w:t>
            </w:r>
          </w:p>
        </w:tc>
        <w:tc>
          <w:tcPr>
            <w:tcW w:w="112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5</w:t>
            </w:r>
          </w:p>
        </w:tc>
        <w:tc>
          <w:tcPr>
            <w:tcW w:w="4918" w:type="dxa"/>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技术合同成交额</w:t>
            </w:r>
          </w:p>
        </w:tc>
        <w:tc>
          <w:tcPr>
            <w:tcW w:w="709"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hint="eastAsia" w:ascii="Times New Roman" w:hAnsi="Times New Roman" w:eastAsia="楷体_GB2312" w:cs="Times New Roman"/>
                <w:kern w:val="0"/>
                <w:sz w:val="28"/>
                <w:szCs w:val="28"/>
              </w:rPr>
              <w:t>亿元</w:t>
            </w:r>
          </w:p>
        </w:tc>
        <w:tc>
          <w:tcPr>
            <w:tcW w:w="851"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95.35</w:t>
            </w:r>
          </w:p>
        </w:tc>
        <w:tc>
          <w:tcPr>
            <w:tcW w:w="112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6</w:t>
            </w:r>
          </w:p>
        </w:tc>
        <w:tc>
          <w:tcPr>
            <w:tcW w:w="4918" w:type="dxa"/>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高技术制造业增加值占</w:t>
            </w:r>
          </w:p>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规上工业增加值比重</w:t>
            </w:r>
          </w:p>
        </w:tc>
        <w:tc>
          <w:tcPr>
            <w:tcW w:w="709"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w:t>
            </w:r>
          </w:p>
        </w:tc>
        <w:tc>
          <w:tcPr>
            <w:tcW w:w="851"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41.57</w:t>
            </w:r>
          </w:p>
        </w:tc>
        <w:tc>
          <w:tcPr>
            <w:tcW w:w="112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7</w:t>
            </w:r>
          </w:p>
        </w:tc>
        <w:tc>
          <w:tcPr>
            <w:tcW w:w="4918" w:type="dxa"/>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数字经济核心产业增加值占</w:t>
            </w:r>
            <w:r>
              <w:rPr>
                <w:rFonts w:ascii="Times New Roman" w:hAnsi="Times New Roman" w:eastAsia="楷体_GB2312" w:cs="宋体"/>
                <w:kern w:val="0"/>
                <w:sz w:val="28"/>
                <w:szCs w:val="28"/>
              </w:rPr>
              <w:t>GDP</w:t>
            </w:r>
            <w:r>
              <w:rPr>
                <w:rFonts w:hint="eastAsia" w:ascii="Times New Roman" w:hAnsi="Times New Roman" w:eastAsia="楷体_GB2312" w:cs="宋体"/>
                <w:kern w:val="0"/>
                <w:sz w:val="28"/>
                <w:szCs w:val="28"/>
              </w:rPr>
              <w:t>比重</w:t>
            </w:r>
          </w:p>
        </w:tc>
        <w:tc>
          <w:tcPr>
            <w:tcW w:w="709"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w:t>
            </w:r>
          </w:p>
        </w:tc>
        <w:tc>
          <w:tcPr>
            <w:tcW w:w="851"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w:t>
            </w:r>
          </w:p>
        </w:tc>
        <w:tc>
          <w:tcPr>
            <w:tcW w:w="1127" w:type="dxa"/>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Borders>
              <w:bottom w:val="single" w:color="auto" w:sz="4" w:space="0"/>
            </w:tcBorders>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8</w:t>
            </w:r>
          </w:p>
        </w:tc>
        <w:tc>
          <w:tcPr>
            <w:tcW w:w="4918" w:type="dxa"/>
            <w:tcBorders>
              <w:bottom w:val="single" w:color="auto" w:sz="4" w:space="0"/>
            </w:tcBorders>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规模以上</w:t>
            </w:r>
            <w:r>
              <w:rPr>
                <w:rFonts w:hint="eastAsia" w:ascii="Times New Roman" w:hAnsi="Times New Roman" w:eastAsia="楷体_GB2312" w:cs="宋体"/>
                <w:kern w:val="0"/>
                <w:sz w:val="28"/>
                <w:szCs w:val="28"/>
                <w:lang w:eastAsia="zh-CN"/>
              </w:rPr>
              <w:t>工业</w:t>
            </w:r>
            <w:r>
              <w:rPr>
                <w:rFonts w:hint="eastAsia" w:ascii="Times New Roman" w:hAnsi="Times New Roman" w:eastAsia="楷体_GB2312" w:cs="宋体"/>
                <w:kern w:val="0"/>
                <w:sz w:val="28"/>
                <w:szCs w:val="28"/>
              </w:rPr>
              <w:t>高新技术企业数</w:t>
            </w:r>
          </w:p>
        </w:tc>
        <w:tc>
          <w:tcPr>
            <w:tcW w:w="709" w:type="dxa"/>
            <w:tcBorders>
              <w:bottom w:val="single" w:color="auto" w:sz="4" w:space="0"/>
            </w:tcBorders>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hint="eastAsia" w:ascii="Times New Roman" w:hAnsi="Times New Roman" w:eastAsia="楷体_GB2312" w:cs="Times New Roman"/>
                <w:kern w:val="0"/>
                <w:sz w:val="28"/>
                <w:szCs w:val="28"/>
              </w:rPr>
              <w:t>家</w:t>
            </w:r>
          </w:p>
        </w:tc>
        <w:tc>
          <w:tcPr>
            <w:tcW w:w="851" w:type="dxa"/>
            <w:tcBorders>
              <w:bottom w:val="single" w:color="auto" w:sz="4" w:space="0"/>
            </w:tcBorders>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5769</w:t>
            </w:r>
          </w:p>
        </w:tc>
        <w:tc>
          <w:tcPr>
            <w:tcW w:w="1127" w:type="dxa"/>
            <w:tcBorders>
              <w:bottom w:val="single" w:color="auto" w:sz="4" w:space="0"/>
            </w:tcBorders>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47" w:type="dxa"/>
            <w:tcBorders>
              <w:bottom w:val="single" w:color="auto" w:sz="4" w:space="0"/>
            </w:tcBorders>
            <w:tcMar>
              <w:top w:w="23" w:type="dxa"/>
              <w:left w:w="23" w:type="dxa"/>
              <w:bottom w:w="0" w:type="dxa"/>
              <w:right w:w="23" w:type="dxa"/>
            </w:tcMar>
            <w:vAlign w:val="center"/>
          </w:tcPr>
          <w:p>
            <w:pPr>
              <w:widowControl/>
              <w:spacing w:line="440" w:lineRule="exact"/>
              <w:jc w:val="center"/>
              <w:rPr>
                <w:rFonts w:ascii="Times New Roman" w:hAnsi="Times New Roman" w:eastAsia="楷体_GB2312" w:cs="Calibri"/>
                <w:kern w:val="0"/>
                <w:sz w:val="28"/>
                <w:szCs w:val="28"/>
              </w:rPr>
            </w:pPr>
            <w:r>
              <w:rPr>
                <w:rFonts w:ascii="Times New Roman" w:hAnsi="Times New Roman" w:eastAsia="楷体_GB2312" w:cs="Calibri"/>
                <w:kern w:val="0"/>
                <w:sz w:val="28"/>
                <w:szCs w:val="28"/>
              </w:rPr>
              <w:t>9</w:t>
            </w:r>
          </w:p>
        </w:tc>
        <w:tc>
          <w:tcPr>
            <w:tcW w:w="4918" w:type="dxa"/>
            <w:tcBorders>
              <w:bottom w:val="single" w:color="auto" w:sz="4" w:space="0"/>
            </w:tcBorders>
            <w:tcMar>
              <w:top w:w="23" w:type="dxa"/>
              <w:left w:w="23" w:type="dxa"/>
              <w:bottom w:w="0" w:type="dxa"/>
              <w:right w:w="23" w:type="dxa"/>
            </w:tcMar>
          </w:tcPr>
          <w:p>
            <w:pPr>
              <w:widowControl/>
              <w:spacing w:line="440" w:lineRule="exact"/>
              <w:jc w:val="center"/>
              <w:rPr>
                <w:rFonts w:ascii="Times New Roman" w:hAnsi="Times New Roman" w:eastAsia="楷体_GB2312" w:cs="宋体"/>
                <w:kern w:val="0"/>
                <w:sz w:val="28"/>
                <w:szCs w:val="28"/>
              </w:rPr>
            </w:pPr>
            <w:r>
              <w:rPr>
                <w:rFonts w:hint="eastAsia" w:ascii="Times New Roman" w:hAnsi="Times New Roman" w:eastAsia="楷体_GB2312" w:cs="宋体"/>
                <w:kern w:val="0"/>
                <w:sz w:val="28"/>
                <w:szCs w:val="28"/>
              </w:rPr>
              <w:t>公民具备科学素质比例</w:t>
            </w:r>
          </w:p>
        </w:tc>
        <w:tc>
          <w:tcPr>
            <w:tcW w:w="709" w:type="dxa"/>
            <w:tcBorders>
              <w:bottom w:val="single" w:color="auto" w:sz="4" w:space="0"/>
            </w:tcBorders>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w:t>
            </w:r>
          </w:p>
        </w:tc>
        <w:tc>
          <w:tcPr>
            <w:tcW w:w="851" w:type="dxa"/>
            <w:tcBorders>
              <w:bottom w:val="single" w:color="auto" w:sz="4" w:space="0"/>
            </w:tcBorders>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w:t>
            </w:r>
          </w:p>
        </w:tc>
        <w:tc>
          <w:tcPr>
            <w:tcW w:w="1127" w:type="dxa"/>
            <w:tcBorders>
              <w:bottom w:val="single" w:color="auto" w:sz="4" w:space="0"/>
            </w:tcBorders>
            <w:tcMar>
              <w:top w:w="23" w:type="dxa"/>
              <w:left w:w="23" w:type="dxa"/>
              <w:bottom w:w="0" w:type="dxa"/>
              <w:right w:w="23" w:type="dxa"/>
            </w:tcMar>
            <w:vAlign w:val="center"/>
          </w:tcPr>
          <w:p>
            <w:pPr>
              <w:widowControl/>
              <w:spacing w:line="440" w:lineRule="exact"/>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20</w:t>
            </w:r>
          </w:p>
        </w:tc>
      </w:tr>
    </w:tbl>
    <w:p>
      <w:pPr>
        <w:widowControl/>
        <w:spacing w:line="460" w:lineRule="exact"/>
        <w:ind w:firstLine="275" w:firstLineChars="98"/>
        <w:jc w:val="left"/>
        <w:rPr>
          <w:rFonts w:ascii="Times New Roman" w:hAnsi="Times New Roman" w:eastAsia="楷体_GB2312" w:cs="宋体"/>
          <w:b/>
          <w:bCs/>
          <w:kern w:val="0"/>
          <w:sz w:val="28"/>
          <w:szCs w:val="28"/>
        </w:rPr>
      </w:pPr>
      <w:bookmarkStart w:id="4" w:name="_Hlk65592285"/>
      <w:r>
        <w:rPr>
          <w:rFonts w:hint="eastAsia" w:ascii="Times New Roman" w:hAnsi="Times New Roman" w:eastAsia="楷体_GB2312" w:cs="宋体"/>
          <w:b/>
          <w:bCs/>
          <w:kern w:val="0"/>
          <w:sz w:val="28"/>
          <w:szCs w:val="28"/>
        </w:rPr>
        <w:t>注：以上指标均为预期性指标。</w:t>
      </w:r>
    </w:p>
    <w:p>
      <w:pPr>
        <w:widowControl/>
        <w:spacing w:line="460" w:lineRule="exact"/>
        <w:ind w:firstLine="275" w:firstLineChars="98"/>
        <w:jc w:val="left"/>
        <w:rPr>
          <w:rFonts w:ascii="Times New Roman" w:hAnsi="Times New Roman" w:eastAsia="楷体_GB2312" w:cs="宋体"/>
          <w:b/>
          <w:bCs/>
          <w:kern w:val="0"/>
          <w:sz w:val="28"/>
          <w:szCs w:val="28"/>
        </w:rPr>
      </w:pPr>
    </w:p>
    <w:bookmarkEnd w:id="4"/>
    <w:p>
      <w:pPr>
        <w:spacing w:line="580" w:lineRule="exact"/>
        <w:ind w:firstLine="640" w:firstLineChars="200"/>
        <w:rPr>
          <w:rFonts w:ascii="Times New Roman" w:hAnsi="Times New Roman" w:eastAsia="仿宋_GB2312"/>
          <w:sz w:val="32"/>
        </w:rPr>
      </w:pPr>
    </w:p>
    <w:p>
      <w:pPr>
        <w:spacing w:line="580" w:lineRule="exact"/>
        <w:ind w:firstLine="640" w:firstLineChars="200"/>
        <w:rPr>
          <w:rFonts w:ascii="Times New Roman" w:hAnsi="Times New Roman" w:eastAsia="仿宋_GB2312"/>
          <w:sz w:val="32"/>
        </w:rPr>
      </w:pPr>
    </w:p>
    <w:p>
      <w:pPr>
        <w:spacing w:line="580" w:lineRule="exact"/>
        <w:ind w:firstLine="640" w:firstLineChars="200"/>
        <w:rPr>
          <w:rFonts w:ascii="Times New Roman" w:hAnsi="Times New Roman" w:eastAsia="仿宋_GB2312"/>
          <w:sz w:val="32"/>
        </w:rPr>
        <w:sectPr>
          <w:footerReference r:id="rId5" w:type="default"/>
          <w:pgSz w:w="11906" w:h="16838"/>
          <w:pgMar w:top="1440" w:right="1800" w:bottom="1440" w:left="1800" w:header="851" w:footer="992" w:gutter="0"/>
          <w:pgNumType w:start="1"/>
          <w:cols w:space="425" w:num="1"/>
          <w:docGrid w:type="lines" w:linePitch="312" w:charSpace="0"/>
        </w:sectPr>
      </w:pPr>
    </w:p>
    <w:p>
      <w:pPr>
        <w:spacing w:line="580" w:lineRule="exact"/>
        <w:ind w:firstLine="640" w:firstLineChars="200"/>
        <w:outlineLvl w:val="0"/>
        <w:rPr>
          <w:rFonts w:ascii="黑体" w:hAnsi="黑体" w:eastAsia="黑体"/>
          <w:sz w:val="32"/>
        </w:rPr>
      </w:pPr>
      <w:bookmarkStart w:id="5" w:name="_Toc219454861"/>
      <w:r>
        <w:rPr>
          <w:rFonts w:hint="eastAsia" w:ascii="黑体" w:hAnsi="黑体" w:eastAsia="黑体"/>
          <w:sz w:val="32"/>
        </w:rPr>
        <w:t>第二章</w:t>
      </w:r>
      <w:r>
        <w:rPr>
          <w:rFonts w:ascii="黑体" w:hAnsi="黑体" w:eastAsia="黑体"/>
          <w:sz w:val="32"/>
        </w:rPr>
        <w:t xml:space="preserve"> </w:t>
      </w:r>
      <w:r>
        <w:rPr>
          <w:rFonts w:hint="eastAsia" w:ascii="黑体" w:hAnsi="黑体" w:eastAsia="黑体"/>
          <w:sz w:val="32"/>
        </w:rPr>
        <w:t>强化高质量科技供给</w:t>
      </w:r>
      <w:bookmarkEnd w:id="5"/>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锚定高水平科技自立自强，全面加强原始创新能力建设，加强重大科技基础设施与科研平台建设，全面夯实科技创新基础根基。坚持“有组织科研”，以更大力度全链条推进重点领域关键核心技术攻关取得重大突破，努力抢占若干科技制高点。</w:t>
      </w:r>
    </w:p>
    <w:p>
      <w:pPr>
        <w:spacing w:line="580" w:lineRule="exact"/>
        <w:ind w:firstLine="640" w:firstLineChars="200"/>
        <w:outlineLvl w:val="1"/>
        <w:rPr>
          <w:rFonts w:ascii="楷体_GB2312" w:hAnsi="Times New Roman" w:eastAsia="楷体_GB2312"/>
          <w:sz w:val="32"/>
        </w:rPr>
      </w:pPr>
      <w:bookmarkStart w:id="6" w:name="_Toc219454862"/>
      <w:r>
        <w:rPr>
          <w:rFonts w:hint="eastAsia" w:ascii="楷体_GB2312" w:hAnsi="Times New Roman" w:eastAsia="楷体_GB2312"/>
          <w:sz w:val="32"/>
        </w:rPr>
        <w:t>第一节 建好用好国家重大科技基础设施</w:t>
      </w:r>
      <w:bookmarkEnd w:id="6"/>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加快重大科技基础设施建设。</w:t>
      </w:r>
      <w:r>
        <w:rPr>
          <w:rFonts w:hint="eastAsia" w:ascii="Times New Roman" w:hAnsi="Times New Roman" w:eastAsia="仿宋_GB2312"/>
          <w:b w:val="0"/>
          <w:bCs/>
          <w:sz w:val="32"/>
        </w:rPr>
        <w:t>完成</w:t>
      </w:r>
      <w:r>
        <w:rPr>
          <w:rFonts w:hint="eastAsia" w:ascii="Times New Roman" w:hAnsi="Times New Roman" w:eastAsia="仿宋_GB2312"/>
          <w:sz w:val="32"/>
        </w:rPr>
        <w:t>散裂中子源二期建设，新建一批中子谱仪和实验终端，大幅提升加速器和靶站功率，提供更高水平的科学试验条件，为更多学科前沿交叉研究提供基础条件支撑。完成先进阿秒激光设施东莞部分建设，建设一批光束线与若干应用终端，为国内外用户提供先进的综合性超快科学研究设施。推动南方光源研究测试平台稳步开展光源关键技术预研，稳妥推进南方先进光源项目各项前期工作，积极探索重大科技基础设施建设“共建共管共享”新模式。</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推动重大科技基础设施高效运行。</w:t>
      </w:r>
      <w:r>
        <w:rPr>
          <w:rFonts w:hint="eastAsia" w:ascii="Times New Roman" w:hAnsi="Times New Roman" w:eastAsia="仿宋_GB2312"/>
          <w:sz w:val="32"/>
        </w:rPr>
        <w:t>以用促建，推动构建以成果为导向的重大科技基础设施开放运行机制，以科研与产业前沿创新需求驱动重大科技基础设施的持续更新升级，提升辐射带动企业、产业发展能力。鼓励相关部门、园区以及有条件的龙头企业出资联合重大科技基础设施运营单位共同设立开放基金，支持应用重大科技基础设施开展多学科基础与应用基础研究。</w:t>
      </w:r>
    </w:p>
    <w:p>
      <w:pPr>
        <w:spacing w:line="58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rPr>
        <w:t>建立健全重大科技基础设施“沿途下蛋”机制。</w:t>
      </w:r>
      <w:r>
        <w:rPr>
          <w:rFonts w:hint="eastAsia" w:ascii="Times New Roman" w:hAnsi="Times New Roman" w:eastAsia="仿宋_GB2312"/>
          <w:sz w:val="32"/>
        </w:rPr>
        <w:t>强化重大科技基础设施建设与运行全过程产业化意识与行动，推动实现“边建设、边研发、边转化”。支持重大科技基础设施开展关键技术和核心设备研究，支持设施关键技术攻关的成果加快转移转化，进一步发挥设施溢出效应，在重大装备和材料等领域培育孵化一批科技型企业。</w:t>
      </w:r>
      <w:r>
        <w:rPr>
          <w:rFonts w:hint="eastAsia" w:ascii="Times New Roman" w:hAnsi="Times New Roman" w:eastAsia="仿宋_GB2312"/>
          <w:sz w:val="32"/>
          <w:szCs w:val="32"/>
        </w:rPr>
        <w:t>支持企业利用重大科技基础设施开展研发活动，推动高校院所联合企业共同凝练行业共性问题，利用重大科技基础设施开展研发攻关，攻克行业</w:t>
      </w:r>
      <w:r>
        <w:rPr>
          <w:rFonts w:ascii="Times New Roman" w:hAnsi="Times New Roman" w:eastAsia="仿宋_GB2312"/>
          <w:sz w:val="32"/>
          <w:szCs w:val="32"/>
        </w:rPr>
        <w:t>“</w:t>
      </w:r>
      <w:r>
        <w:rPr>
          <w:rFonts w:hint="eastAsia" w:ascii="Times New Roman" w:hAnsi="Times New Roman" w:eastAsia="仿宋_GB2312"/>
          <w:sz w:val="32"/>
          <w:szCs w:val="32"/>
        </w:rPr>
        <w:t>卡脖子</w:t>
      </w:r>
      <w:r>
        <w:rPr>
          <w:rFonts w:ascii="Times New Roman" w:hAnsi="Times New Roman" w:eastAsia="仿宋_GB2312"/>
          <w:sz w:val="32"/>
          <w:szCs w:val="32"/>
        </w:rPr>
        <w:t>”</w:t>
      </w:r>
      <w:r>
        <w:rPr>
          <w:rFonts w:hint="eastAsia" w:ascii="Times New Roman" w:hAnsi="Times New Roman" w:eastAsia="仿宋_GB2312"/>
          <w:sz w:val="32"/>
          <w:szCs w:val="32"/>
        </w:rPr>
        <w:t>技术。围绕重大科技基础设施推动相关联的战略性新兴产业集群发展，推动设施和企业在新材料、新能源、装备制造、生物医药等领域共建联合研发机构、共担国家或省重大科技专项、共同开展关键技术攻关，产出突破性、颠覆性技术成果引领战略性新兴产业与未来产业发展壮大。</w:t>
      </w:r>
    </w:p>
    <w:p>
      <w:pPr>
        <w:spacing w:line="580" w:lineRule="exact"/>
        <w:ind w:firstLine="640" w:firstLineChars="200"/>
        <w:outlineLvl w:val="1"/>
        <w:rPr>
          <w:rFonts w:ascii="楷体_GB2312" w:hAnsi="Times New Roman" w:eastAsia="楷体_GB2312"/>
          <w:sz w:val="32"/>
        </w:rPr>
      </w:pPr>
      <w:bookmarkStart w:id="7" w:name="_Toc219454863"/>
      <w:r>
        <w:rPr>
          <w:rFonts w:hint="eastAsia" w:ascii="楷体_GB2312" w:hAnsi="Times New Roman" w:eastAsia="楷体_GB2312"/>
          <w:sz w:val="32"/>
        </w:rPr>
        <w:t>第二节</w:t>
      </w:r>
      <w:r>
        <w:rPr>
          <w:rFonts w:ascii="楷体_GB2312" w:hAnsi="Times New Roman" w:eastAsia="楷体_GB2312"/>
          <w:sz w:val="32"/>
        </w:rPr>
        <w:t xml:space="preserve"> </w:t>
      </w:r>
      <w:r>
        <w:rPr>
          <w:rFonts w:hint="eastAsia" w:ascii="楷体_GB2312" w:hAnsi="Times New Roman" w:eastAsia="楷体_GB2312"/>
          <w:sz w:val="32"/>
        </w:rPr>
        <w:t>建设与产业紧密结合的多层级科研平台</w:t>
      </w:r>
      <w:bookmarkEnd w:id="7"/>
    </w:p>
    <w:p>
      <w:pPr>
        <w:spacing w:line="580" w:lineRule="exact"/>
        <w:ind w:firstLine="640" w:firstLineChars="200"/>
        <w:rPr>
          <w:rFonts w:ascii="Times New Roman" w:hAnsi="Times New Roman" w:eastAsia="仿宋_GB2312"/>
          <w:sz w:val="32"/>
          <w:u w:val="none"/>
        </w:rPr>
      </w:pPr>
      <w:r>
        <w:rPr>
          <w:rFonts w:hint="eastAsia" w:ascii="Times New Roman" w:hAnsi="Times New Roman" w:eastAsia="仿宋_GB2312"/>
          <w:b w:val="0"/>
          <w:bCs/>
          <w:sz w:val="32"/>
        </w:rPr>
        <w:t>高标准、高水平建设中国科学院东莞材料科学与技术研究所</w:t>
      </w:r>
      <w:r>
        <w:rPr>
          <w:rFonts w:hint="eastAsia" w:ascii="Times New Roman" w:hAnsi="Times New Roman" w:eastAsia="仿宋_GB2312"/>
          <w:sz w:val="32"/>
        </w:rPr>
        <w:t>。</w:t>
      </w:r>
      <w:r>
        <w:rPr>
          <w:rFonts w:hint="eastAsia" w:ascii="Times New Roman" w:hAnsi="Times New Roman" w:eastAsia="仿宋_GB2312"/>
          <w:sz w:val="32"/>
          <w:u w:val="none"/>
        </w:rPr>
        <w:t>支持东莞材料所聚焦国家重大战略需求与地方产业发展需要，围绕信息材料、能源材料、非晶材料、生物医用材料、功能陶瓷与金属材料、科研仪器设备材料等重点领域，开展关键核心技术攻关、工程化研究与科技成果转化，打造国家物质科学研究体系的重要组成部分。支持东莞材料所</w:t>
      </w:r>
      <w:r>
        <w:rPr>
          <w:rFonts w:hint="eastAsia" w:ascii="Times New Roman" w:hAnsi="Times New Roman" w:eastAsia="仿宋_GB2312"/>
          <w:sz w:val="32"/>
        </w:rPr>
        <w:t>构建“</w:t>
      </w:r>
      <w:r>
        <w:rPr>
          <w:rFonts w:ascii="Times New Roman" w:hAnsi="Times New Roman" w:eastAsia="仿宋_GB2312"/>
          <w:sz w:val="32"/>
        </w:rPr>
        <w:t>AI+</w:t>
      </w:r>
      <w:r>
        <w:rPr>
          <w:rFonts w:hint="eastAsia" w:ascii="Times New Roman" w:hAnsi="Times New Roman" w:eastAsia="仿宋_GB2312"/>
          <w:sz w:val="32"/>
        </w:rPr>
        <w:t>新材料”创新科研新范式，</w:t>
      </w:r>
      <w:r>
        <w:rPr>
          <w:rFonts w:hint="eastAsia" w:ascii="Times New Roman" w:hAnsi="Times New Roman" w:eastAsia="仿宋_GB2312"/>
          <w:sz w:val="32"/>
          <w:u w:val="none"/>
        </w:rPr>
        <w:t>开发材料研究领域</w:t>
      </w:r>
      <w:r>
        <w:rPr>
          <w:rFonts w:hint="eastAsia" w:ascii="Times New Roman" w:hAnsi="Times New Roman" w:eastAsia="仿宋_GB2312"/>
          <w:sz w:val="32"/>
        </w:rPr>
        <w:t>智能驱动的</w:t>
      </w:r>
      <w:r>
        <w:rPr>
          <w:rFonts w:hint="eastAsia" w:ascii="Times New Roman" w:hAnsi="Times New Roman" w:eastAsia="仿宋_GB2312"/>
          <w:sz w:val="32"/>
          <w:u w:val="none"/>
        </w:rPr>
        <w:t>的通用技术、工具与方法，建设成为我国新材料领域的领军科研机构以及粤港澳大湾区原始创新策源地、产业技术辐射地、国家创新人才高地。</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推动松山湖材料实验室聚焦产业科技深入服务地方产业发展。推动松山湖材料实验室与东莞材料所深度协同发展，形成科研布局互补、创新链条相互衔接的紧密合作关系。支持松山湖材料实验室聚集地方支持、产业基金等各类资源，聚焦科技成果产业转化与项目落地发展，主动服务东莞现代化产业体系建设，发展成为链接材料科学前沿研究成果与产业培育落地的重要枢纽。推动材料实验室加快构建“自我造血”机制与可持续发展能力。</w:t>
      </w:r>
    </w:p>
    <w:p>
      <w:pPr>
        <w:widowControl/>
        <w:spacing w:line="580" w:lineRule="exact"/>
        <w:ind w:firstLine="560"/>
        <w:rPr>
          <w:rFonts w:ascii="Times New Roman" w:hAnsi="Times New Roman" w:eastAsia="仿宋_GB2312"/>
          <w:sz w:val="32"/>
        </w:rPr>
      </w:pPr>
      <w:r>
        <w:rPr>
          <w:rFonts w:hint="eastAsia" w:ascii="Times New Roman" w:hAnsi="Times New Roman" w:eastAsia="仿宋_GB2312"/>
          <w:sz w:val="32"/>
        </w:rPr>
        <w:t>推进高校高水平科研平台建设。推动大湾区大学、香港城市大学（东莞）、东莞理工学院、广东医科大学等高校加强与中国散裂中子源、先进阿秒激光设施等大科学装置合作，充分发挥大科学装置在物质科学及物质科学为基础的交叉科学、先进前沿材料、能源材料、电子信息材料、生物医药材料等战略性领域的支撑作用，建设一批高水平科研机构。推动大湾区大学建设中子科学中心，推动东莞理工学院围绕防灾应急、集成电路、能源材料等领域积极谋划培育国家重点实验室等高水平科研机构，进一步增强源头创新能力。</w:t>
      </w:r>
    </w:p>
    <w:p>
      <w:pPr>
        <w:spacing w:line="580" w:lineRule="exact"/>
        <w:ind w:firstLine="640" w:firstLineChars="200"/>
        <w:outlineLvl w:val="1"/>
        <w:rPr>
          <w:rFonts w:ascii="楷体_GB2312" w:hAnsi="Times New Roman" w:eastAsia="楷体_GB2312"/>
          <w:sz w:val="32"/>
        </w:rPr>
      </w:pPr>
      <w:bookmarkStart w:id="8" w:name="_Toc219454864"/>
      <w:r>
        <w:rPr>
          <w:rFonts w:hint="eastAsia" w:ascii="楷体_GB2312" w:hAnsi="Times New Roman" w:eastAsia="楷体_GB2312"/>
          <w:sz w:val="32"/>
        </w:rPr>
        <w:t>第三节</w:t>
      </w:r>
      <w:r>
        <w:rPr>
          <w:rFonts w:ascii="楷体_GB2312" w:hAnsi="Times New Roman" w:eastAsia="楷体_GB2312"/>
          <w:sz w:val="32"/>
        </w:rPr>
        <w:t xml:space="preserve"> </w:t>
      </w:r>
      <w:r>
        <w:rPr>
          <w:rFonts w:hint="eastAsia" w:ascii="楷体_GB2312" w:hAnsi="Times New Roman" w:eastAsia="楷体_GB2312"/>
          <w:sz w:val="32"/>
        </w:rPr>
        <w:t>加强源头创新能力建设</w:t>
      </w:r>
      <w:bookmarkEnd w:id="8"/>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强化基础研究与应用基础研究。探索基础研究新型组织方式，构建高校、科研院所、科技领军企业、新型研发机构等多元主体积极参与、交流互动的基础研究格局。探索建立由科技界与产业界共同围绕东莞产业发展重大需求凝练科学问题的选题机制，推广应用“首席科学家”制，赋予首席科学家在技术路线、资源配置等方面有更大自主权。支持科技领军企业、“链主”企业开展基础研究，对企业自主实施的重大基础研究项目，经审核后视同市级科技计划项目。</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完善多元化基础研究投入机制。加大基础研究领域财政科技投入，接续实施粤莞联合基金并长期保持合理规模。引导国有企业、科技领军企业、行业龙头企业等加强基础研究布局，支持企业设立基础研究专项基金或参与设立联合基金，开展前沿技术、颠覆性技术和重大基础科学问题研究。鼓励有条件的社会力量通过出资、捐赠、设立基金等方式支持基础研究，进一步拓展基础研究资金来源。</w:t>
      </w:r>
    </w:p>
    <w:p>
      <w:pPr>
        <w:spacing w:line="580" w:lineRule="exact"/>
        <w:ind w:firstLine="640" w:firstLineChars="200"/>
      </w:pPr>
      <w:r>
        <w:rPr>
          <w:rFonts w:ascii="仿宋_GB2312" w:hAnsi="仿宋_GB2312" w:eastAsia="仿宋_GB2312" w:cs="仿宋_GB2312"/>
          <w:color w:val="000000"/>
          <w:sz w:val="32"/>
        </w:rPr>
        <w:t>以人工智能引领科研范式变革。深化人工智能与科学研究融合创新，聚焦材料科学等重点领域，鼓励散裂中子源、中科院东莞材料所、大湾区大学等高</w:t>
      </w:r>
      <w:r>
        <w:rPr>
          <w:rFonts w:hint="eastAsia" w:ascii="仿宋_GB2312" w:hAnsi="仿宋_GB2312" w:eastAsia="仿宋_GB2312" w:cs="仿宋_GB2312"/>
          <w:color w:val="000000"/>
          <w:sz w:val="32"/>
        </w:rPr>
        <w:t>水平科研</w:t>
      </w:r>
      <w:r>
        <w:rPr>
          <w:rFonts w:ascii="仿宋_GB2312" w:hAnsi="仿宋_GB2312" w:eastAsia="仿宋_GB2312" w:cs="仿宋_GB2312"/>
          <w:color w:val="000000"/>
          <w:sz w:val="32"/>
        </w:rPr>
        <w:t>平台探索开展典型科研场景建设示范，加快</w:t>
      </w:r>
      <w:r>
        <w:rPr>
          <w:rFonts w:ascii="Times New Roman" w:hAnsi="Times New Roman" w:cs="Times New Roman"/>
          <w:color w:val="000000"/>
          <w:sz w:val="32"/>
        </w:rPr>
        <w:t>AI</w:t>
      </w:r>
      <w:r>
        <w:rPr>
          <w:rFonts w:ascii="仿宋_GB2312" w:hAnsi="仿宋_GB2312" w:eastAsia="仿宋_GB2312" w:cs="仿宋_GB2312"/>
          <w:color w:val="000000"/>
          <w:sz w:val="32"/>
        </w:rPr>
        <w:t>驱动的智能实验室、科学数据中心等科研基础设施建设，大力推进有组织的“人工智能</w:t>
      </w:r>
      <w:r>
        <w:rPr>
          <w:rFonts w:ascii="Times New Roman" w:hAnsi="Times New Roman" w:cs="Times New Roman"/>
          <w:color w:val="000000"/>
          <w:sz w:val="32"/>
        </w:rPr>
        <w:t>+</w:t>
      </w:r>
      <w:r>
        <w:rPr>
          <w:rFonts w:ascii="仿宋_GB2312" w:hAnsi="仿宋_GB2312" w:eastAsia="仿宋_GB2312" w:cs="仿宋_GB2312"/>
          <w:color w:val="000000"/>
          <w:sz w:val="32"/>
        </w:rPr>
        <w:t>”科学研究，以重点科研场景示范带动整体科研创新效能提升，支持松山湖打造人工智能赋能科学研究高地。</w:t>
      </w:r>
    </w:p>
    <w:p>
      <w:pPr>
        <w:spacing w:line="580" w:lineRule="exact"/>
        <w:ind w:firstLine="640" w:firstLineChars="200"/>
        <w:outlineLvl w:val="1"/>
        <w:rPr>
          <w:rFonts w:ascii="楷体_GB2312" w:hAnsi="Times New Roman" w:eastAsia="楷体_GB2312"/>
          <w:sz w:val="32"/>
        </w:rPr>
      </w:pPr>
      <w:bookmarkStart w:id="9" w:name="_Toc219454865"/>
      <w:r>
        <w:rPr>
          <w:rFonts w:hint="eastAsia" w:ascii="楷体_GB2312" w:hAnsi="Times New Roman" w:eastAsia="楷体_GB2312"/>
          <w:sz w:val="32"/>
        </w:rPr>
        <w:t>第四节</w:t>
      </w:r>
      <w:r>
        <w:rPr>
          <w:rFonts w:ascii="楷体_GB2312" w:hAnsi="Times New Roman" w:eastAsia="楷体_GB2312"/>
          <w:sz w:val="32"/>
        </w:rPr>
        <w:t xml:space="preserve"> </w:t>
      </w:r>
      <w:r>
        <w:rPr>
          <w:rFonts w:hint="eastAsia" w:ascii="楷体_GB2312" w:hAnsi="Times New Roman" w:eastAsia="楷体_GB2312"/>
          <w:sz w:val="32"/>
        </w:rPr>
        <w:t>加强关键核心技术攻关</w:t>
      </w:r>
      <w:bookmarkEnd w:id="9"/>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聚焦实体经济，坚持制造业当家，深入探索构建核心技术攻关新型举国体制东莞路径，加强前沿技术、颠覆性技术研究，加快突破关键核心技术，加速高水平科技自立自强，进一步提升产业升级发展自主权。</w:t>
      </w:r>
    </w:p>
    <w:p>
      <w:pPr>
        <w:spacing w:line="580" w:lineRule="exact"/>
        <w:ind w:firstLine="640" w:firstLineChars="200"/>
        <w:rPr>
          <w:rFonts w:ascii="楷体_GB2312" w:hAnsi="Times New Roman" w:eastAsia="楷体_GB2312"/>
          <w:sz w:val="32"/>
          <w:u w:val="none"/>
        </w:rPr>
      </w:pPr>
      <w:r>
        <w:rPr>
          <w:rFonts w:hint="eastAsia" w:ascii="楷体_GB2312" w:hAnsi="Times New Roman" w:eastAsia="楷体_GB2312"/>
          <w:sz w:val="32"/>
          <w:u w:val="none"/>
        </w:rPr>
        <w:t>一、加大核心技术攻关实施力度</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研究制订东莞市核心技术攻关清单。聚焦东莞市产业升级发展需求，研究制订东莞市产业“卡脖子”技术清单、产业补短板技术清单、关键共性技术清单等“三张技术清单”，聚焦新一代信息技术、新材料、人工智能等重点领域，优化实施一批科技重大专项项目，不断提高产业自主创新能力，努力锻造产业竞争长板。</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聚焦重点产业领域建设创新联合体群。</w:t>
      </w:r>
      <w:r>
        <w:rPr>
          <w:rFonts w:hint="eastAsia" w:ascii="Times New Roman" w:hAnsi="Times New Roman" w:eastAsia="仿宋_GB2312"/>
          <w:sz w:val="32"/>
        </w:rPr>
        <w:t>支持由企业牵头组建体系化、任务型创新联合体，开展多学科、多主体、跨行业、跨单位联合攻关。</w:t>
      </w:r>
      <w:r>
        <w:rPr>
          <w:rFonts w:hint="eastAsia" w:ascii="Times New Roman" w:hAnsi="Times New Roman" w:eastAsia="仿宋_GB2312"/>
          <w:sz w:val="32"/>
          <w:szCs w:val="32"/>
        </w:rPr>
        <w:t>围绕重点发展产业领域建设创新联合体群，探索以</w:t>
      </w:r>
      <w:r>
        <w:rPr>
          <w:rFonts w:ascii="Times New Roman" w:hAnsi="Times New Roman" w:eastAsia="仿宋_GB2312"/>
          <w:sz w:val="32"/>
          <w:szCs w:val="32"/>
        </w:rPr>
        <w:t>“</w:t>
      </w:r>
      <w:r>
        <w:rPr>
          <w:rFonts w:hint="eastAsia" w:ascii="Times New Roman" w:hAnsi="Times New Roman" w:eastAsia="仿宋_GB2312"/>
          <w:sz w:val="32"/>
          <w:szCs w:val="32"/>
        </w:rPr>
        <w:t>大</w:t>
      </w:r>
      <w:r>
        <w:rPr>
          <w:rFonts w:ascii="Times New Roman" w:hAnsi="Times New Roman" w:eastAsia="仿宋_GB2312"/>
          <w:sz w:val="32"/>
          <w:szCs w:val="32"/>
        </w:rPr>
        <w:t>+</w:t>
      </w:r>
      <w:r>
        <w:rPr>
          <w:rFonts w:hint="eastAsia" w:ascii="Times New Roman" w:hAnsi="Times New Roman" w:eastAsia="仿宋_GB2312"/>
          <w:sz w:val="32"/>
          <w:szCs w:val="32"/>
        </w:rPr>
        <w:t>小</w:t>
      </w:r>
      <w:r>
        <w:rPr>
          <w:rFonts w:ascii="Times New Roman" w:hAnsi="Times New Roman" w:eastAsia="仿宋_GB2312"/>
          <w:sz w:val="32"/>
          <w:szCs w:val="32"/>
        </w:rPr>
        <w:t>”</w:t>
      </w:r>
      <w:r>
        <w:rPr>
          <w:rFonts w:hint="eastAsia" w:ascii="Times New Roman" w:hAnsi="Times New Roman" w:eastAsia="仿宋_GB2312"/>
          <w:sz w:val="32"/>
          <w:szCs w:val="32"/>
        </w:rPr>
        <w:t>模式推动参与企业向产业链上下游延伸，以“全+细”模式推动新技术向不同细分产业领域赋能覆盖，不断扩大创新联合体对产业发展的带动力。推动创新联合体向体系化、平台化、生态化方向发展，加强与镇街产业发展布局的协同联动。</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提升重大科技项目实施效能。建立多方联动机制，推动省市、市市、市镇联动布局实施一批重大科技项目。完善重大科技项目组织方式，</w:t>
      </w:r>
      <w:r>
        <w:rPr>
          <w:rFonts w:hint="eastAsia" w:ascii="Times New Roman" w:hAnsi="Times New Roman" w:eastAsia="仿宋_GB2312" w:cs="Times New Roman"/>
          <w:color w:val="111111"/>
          <w:kern w:val="0"/>
          <w:sz w:val="32"/>
          <w:szCs w:val="32"/>
        </w:rPr>
        <w:t>综合采用“竞争择优</w:t>
      </w:r>
      <w:r>
        <w:rPr>
          <w:rFonts w:ascii="Times New Roman" w:hAnsi="Times New Roman" w:eastAsia="仿宋_GB2312" w:cs="Times New Roman"/>
          <w:color w:val="111111"/>
          <w:kern w:val="0"/>
          <w:sz w:val="32"/>
          <w:szCs w:val="32"/>
        </w:rPr>
        <w:t>”“</w:t>
      </w:r>
      <w:r>
        <w:rPr>
          <w:rFonts w:hint="eastAsia" w:ascii="Times New Roman" w:hAnsi="Times New Roman" w:eastAsia="仿宋_GB2312" w:cs="Times New Roman"/>
          <w:color w:val="111111"/>
          <w:kern w:val="0"/>
          <w:sz w:val="32"/>
          <w:szCs w:val="32"/>
        </w:rPr>
        <w:t>揭榜挂帅</w:t>
      </w:r>
      <w:r>
        <w:rPr>
          <w:rFonts w:ascii="Times New Roman" w:hAnsi="Times New Roman" w:eastAsia="仿宋_GB2312" w:cs="Times New Roman"/>
          <w:color w:val="111111"/>
          <w:kern w:val="0"/>
          <w:sz w:val="32"/>
          <w:szCs w:val="32"/>
        </w:rPr>
        <w:t>”“</w:t>
      </w:r>
      <w:r>
        <w:rPr>
          <w:rFonts w:hint="eastAsia" w:ascii="Times New Roman" w:hAnsi="Times New Roman" w:eastAsia="仿宋_GB2312" w:cs="Times New Roman"/>
          <w:color w:val="111111"/>
          <w:kern w:val="0"/>
          <w:sz w:val="32"/>
          <w:szCs w:val="32"/>
        </w:rPr>
        <w:t>定向组织</w:t>
      </w:r>
      <w:r>
        <w:rPr>
          <w:rFonts w:ascii="Times New Roman" w:hAnsi="Times New Roman" w:eastAsia="仿宋_GB2312" w:cs="Times New Roman"/>
          <w:color w:val="111111"/>
          <w:kern w:val="0"/>
          <w:sz w:val="32"/>
          <w:szCs w:val="32"/>
        </w:rPr>
        <w:t>”“</w:t>
      </w:r>
      <w:r>
        <w:rPr>
          <w:rFonts w:hint="eastAsia" w:ascii="Times New Roman" w:hAnsi="Times New Roman" w:eastAsia="仿宋_GB2312" w:cs="Times New Roman"/>
          <w:color w:val="111111"/>
          <w:kern w:val="0"/>
          <w:sz w:val="32"/>
          <w:szCs w:val="32"/>
        </w:rPr>
        <w:t>业主制</w:t>
      </w:r>
      <w:r>
        <w:rPr>
          <w:rFonts w:ascii="Times New Roman" w:hAnsi="Times New Roman" w:eastAsia="仿宋_GB2312" w:cs="Times New Roman"/>
          <w:color w:val="111111"/>
          <w:kern w:val="0"/>
          <w:sz w:val="32"/>
          <w:szCs w:val="32"/>
        </w:rPr>
        <w:t>”“</w:t>
      </w:r>
      <w:r>
        <w:rPr>
          <w:rFonts w:hint="eastAsia" w:ascii="Times New Roman" w:hAnsi="Times New Roman" w:eastAsia="仿宋_GB2312" w:cs="Times New Roman"/>
          <w:color w:val="111111"/>
          <w:kern w:val="0"/>
          <w:sz w:val="32"/>
          <w:szCs w:val="32"/>
        </w:rPr>
        <w:t>事后奖补</w:t>
      </w:r>
      <w:r>
        <w:rPr>
          <w:rFonts w:ascii="Times New Roman" w:hAnsi="Times New Roman" w:eastAsia="仿宋_GB2312" w:cs="Times New Roman"/>
          <w:color w:val="111111"/>
          <w:kern w:val="0"/>
          <w:sz w:val="32"/>
          <w:szCs w:val="32"/>
        </w:rPr>
        <w:t>”</w:t>
      </w:r>
      <w:r>
        <w:rPr>
          <w:rFonts w:hint="eastAsia" w:ascii="Times New Roman" w:hAnsi="Times New Roman" w:eastAsia="仿宋_GB2312" w:cs="Times New Roman"/>
          <w:color w:val="111111"/>
          <w:kern w:val="0"/>
          <w:sz w:val="32"/>
          <w:szCs w:val="32"/>
        </w:rPr>
        <w:t>等组织方式，灵活适用事前、事中、事后相结合的资助方式，支持企业及创新联合体有针对性持续开展技术攻关，推动重点行业关键核心技术自主可控。</w:t>
      </w:r>
      <w:r>
        <w:rPr>
          <w:rFonts w:hint="eastAsia" w:ascii="Times New Roman" w:hAnsi="Times New Roman" w:eastAsia="仿宋_GB2312"/>
          <w:sz w:val="32"/>
        </w:rPr>
        <w:t>建立以应用为导向的项目评价机制，探索通过第三方测试、真实应用场景考核等方式，推动成果示范应用和迭代升级，不断提升重大科技项目实施效能。</w:t>
      </w:r>
    </w:p>
    <w:p>
      <w:pPr>
        <w:spacing w:line="580" w:lineRule="exact"/>
        <w:ind w:firstLine="640" w:firstLineChars="200"/>
        <w:rPr>
          <w:rFonts w:ascii="楷体_GB2312" w:hAnsi="Times New Roman" w:eastAsia="楷体_GB2312"/>
          <w:sz w:val="32"/>
        </w:rPr>
      </w:pPr>
      <w:r>
        <w:rPr>
          <w:rFonts w:hint="eastAsia" w:ascii="楷体_GB2312" w:hAnsi="Times New Roman" w:eastAsia="楷体_GB2312"/>
          <w:sz w:val="32"/>
        </w:rPr>
        <w:t>二、强化重点产业关键技术支撑</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坚持“有所为，有所不为”，聚焦现代化产业体系中重点发展产业方向，突出需求导向与应用导向，主要瞄准战略性新兴产业、优势传统产业发展急需，加强对产业链、供应链痛点堵点环节的研发布局，推动重点产业链补链强链延链，不断做强能级做大规模做优生态。</w:t>
      </w:r>
    </w:p>
    <w:p>
      <w:pPr>
        <w:spacing w:line="580" w:lineRule="exact"/>
        <w:ind w:firstLine="642" w:firstLineChars="200"/>
        <w:rPr>
          <w:rFonts w:ascii="Times New Roman" w:hAnsi="Times New Roman" w:eastAsia="仿宋_GB2312"/>
          <w:sz w:val="32"/>
        </w:rPr>
      </w:pPr>
      <w:r>
        <w:rPr>
          <w:rFonts w:hint="eastAsia" w:ascii="Times New Roman" w:hAnsi="Times New Roman" w:eastAsia="仿宋_GB2312"/>
          <w:b/>
          <w:bCs/>
          <w:sz w:val="32"/>
        </w:rPr>
        <w:t>巩固提升战略性新兴产业。</w:t>
      </w:r>
      <w:r>
        <w:rPr>
          <w:rFonts w:hint="eastAsia" w:ascii="Times New Roman" w:hAnsi="Times New Roman" w:eastAsia="仿宋_GB2312"/>
          <w:sz w:val="32"/>
        </w:rPr>
        <w:t>围绕重点培育发展的人工智能、新一代电子信息、高端装备、新材料、新能源、生物医药及高端医疗器械、激光与增材制造等战略性新兴产业重点领域关键技术、核心技术、共性技术布局开展重大科技项目，集中资源开展技术攻关。</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b w:val="0"/>
          <w:bCs w:val="0"/>
          <w:sz w:val="32"/>
        </w:rPr>
        <w:t>支撑传统产业提质增效。</w:t>
      </w:r>
      <w:r>
        <w:rPr>
          <w:rFonts w:hint="eastAsia" w:ascii="Times New Roman" w:hAnsi="Times New Roman" w:eastAsia="仿宋_GB2312"/>
          <w:sz w:val="32"/>
        </w:rPr>
        <w:t>针对纺织服装、家具、食品饮料等</w:t>
      </w:r>
      <w:r>
        <w:rPr>
          <w:rFonts w:hint="eastAsia" w:ascii="仿宋_GB2312" w:hAnsi="仿宋_GB2312" w:eastAsia="仿宋_GB2312" w:cs="仿宋_GB2312"/>
          <w:sz w:val="32"/>
          <w:szCs w:val="32"/>
        </w:rPr>
        <w:t>传统优势产业高质量发展对核</w:t>
      </w:r>
      <w:r>
        <w:rPr>
          <w:rFonts w:hint="eastAsia" w:ascii="仿宋_GB2312" w:hAnsi="仿宋_GB2312" w:eastAsia="仿宋_GB2312" w:cs="仿宋_GB2312"/>
          <w:bCs/>
          <w:sz w:val="32"/>
          <w:szCs w:val="32"/>
        </w:rPr>
        <w:t>心技术、关键技术的需求，组织实施相应重大科技项目进行攻关。着力推动传统优势产业建立创新发展理念，加大研发投入、建好企业研发机构、借助高校科研院所力量开展产学研项目，提升自主创新能力，推进产品结构优化与生产数字化转型。</w:t>
      </w:r>
    </w:p>
    <w:p>
      <w:pPr>
        <w:spacing w:line="580" w:lineRule="exact"/>
        <w:ind w:firstLine="640" w:firstLineChars="200"/>
      </w:pPr>
      <w:r>
        <w:rPr>
          <w:rFonts w:hint="eastAsia" w:ascii="Times New Roman" w:hAnsi="Times New Roman" w:eastAsia="仿宋_GB2312"/>
          <w:b w:val="0"/>
          <w:bCs w:val="0"/>
          <w:sz w:val="32"/>
        </w:rPr>
        <w:t>推动人工智能赋能千行百业。</w:t>
      </w:r>
      <w:r>
        <w:rPr>
          <w:rFonts w:ascii="仿宋_GB2312" w:hAnsi="仿宋_GB2312" w:eastAsia="仿宋_GB2312" w:cs="仿宋_GB2312"/>
          <w:color w:val="000000"/>
          <w:sz w:val="32"/>
        </w:rPr>
        <w:t>推动人工智能技术与场景应用</w:t>
      </w:r>
      <w:r>
        <w:rPr>
          <w:rFonts w:ascii="Times New Roman" w:hAnsi="Times New Roman" w:cs="Times New Roman"/>
          <w:color w:val="000000"/>
          <w:sz w:val="32"/>
        </w:rPr>
        <w:t>“</w:t>
      </w:r>
      <w:r>
        <w:rPr>
          <w:rFonts w:ascii="仿宋_GB2312" w:hAnsi="仿宋_GB2312" w:eastAsia="仿宋_GB2312" w:cs="仿宋_GB2312"/>
          <w:color w:val="000000"/>
          <w:sz w:val="32"/>
        </w:rPr>
        <w:t>双向赋能</w:t>
      </w:r>
      <w:r>
        <w:rPr>
          <w:rFonts w:ascii="Times New Roman" w:hAnsi="Times New Roman" w:cs="Times New Roman"/>
          <w:color w:val="000000"/>
          <w:sz w:val="32"/>
        </w:rPr>
        <w:t>”</w:t>
      </w:r>
      <w:r>
        <w:rPr>
          <w:rFonts w:ascii="仿宋_GB2312" w:hAnsi="仿宋_GB2312" w:eastAsia="仿宋_GB2312" w:cs="仿宋_GB2312"/>
          <w:color w:val="000000"/>
          <w:sz w:val="32"/>
        </w:rPr>
        <w:t>，围绕产业发展、文化建设、民生保障、社会治理等场景，强化模型研发和算法创新，推动人工智能驱动的技术研发、工程实现、产品落地一体化协同发展。支持端侧轻量化模型创新，促进端侧模型与终端企业加强合作，打造</w:t>
      </w:r>
      <w:r>
        <w:rPr>
          <w:rFonts w:ascii="Times New Roman" w:hAnsi="Times New Roman" w:cs="Times New Roman"/>
          <w:color w:val="000000"/>
          <w:sz w:val="32"/>
        </w:rPr>
        <w:t>AI</w:t>
      </w:r>
      <w:r>
        <w:rPr>
          <w:rFonts w:ascii="仿宋_GB2312" w:hAnsi="仿宋_GB2312" w:eastAsia="仿宋_GB2312" w:cs="仿宋_GB2312"/>
          <w:color w:val="000000"/>
          <w:sz w:val="32"/>
        </w:rPr>
        <w:t>终端、</w:t>
      </w:r>
      <w:r>
        <w:rPr>
          <w:rFonts w:ascii="Times New Roman" w:hAnsi="Times New Roman" w:cs="Times New Roman"/>
          <w:color w:val="000000"/>
          <w:sz w:val="32"/>
        </w:rPr>
        <w:t>AI</w:t>
      </w:r>
      <w:r>
        <w:rPr>
          <w:rFonts w:ascii="仿宋_GB2312" w:hAnsi="仿宋_GB2312" w:eastAsia="仿宋_GB2312" w:cs="仿宋_GB2312"/>
          <w:color w:val="000000"/>
          <w:sz w:val="32"/>
        </w:rPr>
        <w:t>手机、智能可穿戴设备等人工智能新终端；支持工业企业部署边端智算节点，推广人工智能驱动生产工艺优化，提升工业系统智能感知与决策执行能力。</w:t>
      </w:r>
    </w:p>
    <w:p>
      <w:pPr>
        <w:spacing w:line="580" w:lineRule="exact"/>
        <w:ind w:firstLine="640" w:firstLineChars="200"/>
        <w:rPr>
          <w:rFonts w:ascii="楷体_GB2312" w:hAnsi="Times New Roman" w:eastAsia="楷体_GB2312"/>
          <w:sz w:val="32"/>
          <w:u w:val="none"/>
        </w:rPr>
      </w:pPr>
      <w:r>
        <w:rPr>
          <w:rFonts w:hint="eastAsia" w:ascii="楷体_GB2312" w:hAnsi="Times New Roman" w:eastAsia="楷体_GB2312"/>
          <w:sz w:val="32"/>
          <w:u w:val="none"/>
        </w:rPr>
        <w:t>三、推进共性技术与前沿技术突破</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u w:val="none"/>
        </w:rPr>
        <w:t>推动产业底层共性技术突破。</w:t>
      </w:r>
      <w:r>
        <w:rPr>
          <w:rFonts w:hint="eastAsia" w:ascii="Times New Roman" w:hAnsi="Times New Roman" w:eastAsia="仿宋_GB2312"/>
          <w:sz w:val="32"/>
        </w:rPr>
        <w:t>聚焦产业底层技术、共性技术需求，依托国家重大科技基础设施、本土新型研究型大学、高水平科研机构等重大科技创新平台，加强省市联动，在新一代信息技术、新材料、高端装备与精密仪器等重点领域实施一批底层共性技术重大科技项目，努力在工业软件、关键基础材料、高端精密仪器国产化等方面取得突破性进展。省市联动，接续参与实施省“核心软件攻关工程”，争取更多攻关项目立项与在莞产业化应用。</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u w:val="none"/>
        </w:rPr>
        <w:t>积极抢占前沿技术制高点。</w:t>
      </w:r>
      <w:r>
        <w:rPr>
          <w:rFonts w:hint="eastAsia" w:ascii="仿宋_GB2312" w:hAnsi="仿宋_GB2312" w:eastAsia="仿宋_GB2312" w:cs="仿宋_GB2312"/>
          <w:sz w:val="32"/>
          <w:szCs w:val="32"/>
        </w:rPr>
        <w:t>面向世界科技前沿，强化前沿领域和战略必争领域的前瞻性、引领性布局，突破一批影响未来科技和产业竞争格局的前沿性、引领性、颠覆性技术，抢占未来科技制高点。重点围绕前沿新材料、具身智能、未来生物健康等前沿领域，探索开放式布局项目，推动跨领域协作、开放式发现、梯度式培育。</w:t>
      </w:r>
    </w:p>
    <w:p>
      <w:pPr>
        <w:spacing w:line="580" w:lineRule="exact"/>
        <w:ind w:firstLine="640" w:firstLineChars="200"/>
        <w:outlineLvl w:val="1"/>
        <w:rPr>
          <w:rFonts w:ascii="楷体_GB2312" w:hAnsi="Times New Roman" w:eastAsia="楷体_GB2312"/>
          <w:sz w:val="32"/>
        </w:rPr>
      </w:pPr>
      <w:bookmarkStart w:id="10" w:name="_Toc219454866"/>
      <w:r>
        <w:rPr>
          <w:rFonts w:hint="eastAsia" w:ascii="楷体_GB2312" w:hAnsi="Times New Roman" w:eastAsia="楷体_GB2312"/>
          <w:sz w:val="32"/>
        </w:rPr>
        <w:t>第五节</w:t>
      </w:r>
      <w:r>
        <w:rPr>
          <w:rFonts w:ascii="楷体_GB2312" w:hAnsi="Times New Roman" w:eastAsia="楷体_GB2312"/>
          <w:sz w:val="32"/>
        </w:rPr>
        <w:t xml:space="preserve"> </w:t>
      </w:r>
      <w:r>
        <w:rPr>
          <w:rFonts w:hint="eastAsia" w:ascii="楷体_GB2312" w:hAnsi="Times New Roman" w:eastAsia="楷体_GB2312"/>
          <w:sz w:val="32"/>
        </w:rPr>
        <w:t>提升社会民生技术供给水平</w:t>
      </w:r>
      <w:bookmarkEnd w:id="10"/>
    </w:p>
    <w:p>
      <w:pPr>
        <w:widowControl/>
        <w:spacing w:line="580" w:lineRule="exact"/>
        <w:ind w:firstLine="640" w:firstLineChars="200"/>
        <w:rPr>
          <w:rFonts w:ascii="Times New Roman" w:hAnsi="Times New Roman" w:eastAsia="仿宋_GB2312" w:cs="仿宋_GB2312"/>
          <w:color w:val="000000"/>
          <w:kern w:val="0"/>
          <w:sz w:val="32"/>
          <w:szCs w:val="32"/>
          <w:lang w:bidi="ar"/>
        </w:rPr>
      </w:pPr>
      <w:r>
        <w:rPr>
          <w:rFonts w:hint="eastAsia" w:ascii="Times New Roman" w:hAnsi="Times New Roman" w:eastAsia="仿宋_GB2312" w:cs="仿宋_GB2312"/>
          <w:color w:val="000000"/>
          <w:kern w:val="0"/>
          <w:sz w:val="32"/>
          <w:szCs w:val="32"/>
          <w:lang w:bidi="ar"/>
        </w:rPr>
        <w:t>护航人民生命健康与安全。发展智慧医疗与公共卫生应急技术。依托东莞强大的电子信息产业基础，重点研发可穿戴健康监测设备、远程诊疗系统、智能康复器械。推动人工智能、大数据技术在疾病筛查、流行病预警预测中的应用，加强职业病智能监测与防护技术研发。推动生物医药与医疗器械产业创新发展。托松山湖生物医药产业基地，重点发展高端医学影像设备、体外诊断试剂与设备、高值医用耗材。鼓励承接广深港澳创新资源，开展仿制药、创新药及中药现代化研究。支持医院建设临床医学研究中心，促进“医工结合”，加速科技成果转化应用，支持积极申报广东省临床医学研究中心。发展未来生物食品技术。依托东莞未来生物食品创新联合体，聚焦突破核心菌种与酶制剂、关键配套生物智造等技术，重点发展食品精准营养、食品新型加工与安全保障技术，在传统食品饮料中推广应用合成生物、人工智能等未来技术，推动传统食品向健康功能化、数智化、绿色化与高值化转型。</w:t>
      </w:r>
    </w:p>
    <w:p>
      <w:pPr>
        <w:widowControl/>
        <w:spacing w:line="580" w:lineRule="exact"/>
        <w:ind w:firstLine="640" w:firstLineChars="200"/>
        <w:rPr>
          <w:rFonts w:ascii="Times New Roman" w:hAnsi="Times New Roman" w:eastAsia="仿宋_GB2312" w:cs="仿宋_GB2312"/>
          <w:color w:val="000000"/>
          <w:kern w:val="0"/>
          <w:sz w:val="32"/>
          <w:szCs w:val="32"/>
          <w:lang w:bidi="ar"/>
        </w:rPr>
      </w:pPr>
      <w:r>
        <w:rPr>
          <w:rFonts w:hint="eastAsia" w:ascii="Times New Roman" w:hAnsi="Times New Roman" w:eastAsia="仿宋_GB2312" w:cs="仿宋_GB2312"/>
          <w:color w:val="000000"/>
          <w:kern w:val="0"/>
          <w:sz w:val="32"/>
          <w:szCs w:val="32"/>
          <w:lang w:bidi="ar"/>
        </w:rPr>
        <w:t>推进碳达峰碳中和技术支撑。稳步实施碳达峰行动，统筹推进碳达峰碳中和前沿/颠覆性技术、关键核心技术与行业共性技术研发与示范，布局发展一批低碳、零碳、负碳节能新材料、新技术、新装备，加快形成绿色低碳供应链，强化资源节约集约循环高效利用。加快建设高水平绿色低碳创新平台，建设一批绿色低碳领域概念验证中心和中试验证平台，建立健全公共服务创新体系。</w:t>
      </w:r>
    </w:p>
    <w:p>
      <w:pPr>
        <w:widowControl/>
        <w:spacing w:line="580" w:lineRule="exact"/>
        <w:ind w:firstLine="640" w:firstLineChars="200"/>
        <w:rPr>
          <w:rFonts w:ascii="Times New Roman" w:hAnsi="Times New Roman" w:eastAsia="仿宋_GB2312" w:cs="仿宋_GB2312"/>
          <w:color w:val="000000"/>
          <w:kern w:val="0"/>
          <w:sz w:val="32"/>
          <w:szCs w:val="32"/>
          <w:lang w:bidi="ar"/>
        </w:rPr>
      </w:pPr>
      <w:r>
        <w:rPr>
          <w:rFonts w:hint="eastAsia" w:ascii="Times New Roman" w:hAnsi="Times New Roman" w:eastAsia="仿宋_GB2312" w:cs="仿宋_GB2312"/>
          <w:color w:val="000000"/>
          <w:kern w:val="0"/>
          <w:sz w:val="32"/>
          <w:szCs w:val="32"/>
          <w:lang w:bidi="ar"/>
        </w:rPr>
        <w:t>加强污染防治技术。深化水环境污染防治。研发和应用高精度水质在线监测、溯源技术；发展工业废水污染防治与资源化利用技术；研究河湖内源污染治理与生态补水优化技术。强化大气与土壤污染防治。开展多尺度臭氧和细颗粒物成因与跨行业区域调控技术研究，加强工业源和移动源氮氧化物、挥发性有机物等多污染物全流程、全环节综合防治技术研究；健全土壤复合污染源头防控体系，开展土壤-地下水生态环境风险协同防控研究。加强固废污染防治。开展重点区域及行业新污染物筛查与风险评估，发展新污染物环境风险阻控与治理技术，加快大宗固废危废减量减害及规模综合利用技术研究。</w:t>
      </w:r>
    </w:p>
    <w:p>
      <w:pPr>
        <w:spacing w:line="580" w:lineRule="exact"/>
        <w:ind w:firstLine="640" w:firstLineChars="200"/>
        <w:rPr>
          <w:rFonts w:ascii="Times New Roman" w:hAnsi="Times New Roman" w:eastAsia="仿宋_GB2312"/>
          <w:sz w:val="32"/>
        </w:rPr>
        <w:sectPr>
          <w:pgSz w:w="11906" w:h="16838"/>
          <w:pgMar w:top="1440" w:right="1800" w:bottom="1440" w:left="1800" w:header="851" w:footer="992" w:gutter="0"/>
          <w:cols w:space="425" w:num="1"/>
          <w:docGrid w:type="lines" w:linePitch="312" w:charSpace="0"/>
        </w:sectPr>
      </w:pPr>
    </w:p>
    <w:p>
      <w:pPr>
        <w:spacing w:line="580" w:lineRule="exact"/>
        <w:ind w:firstLine="640" w:firstLineChars="200"/>
        <w:outlineLvl w:val="0"/>
        <w:rPr>
          <w:rFonts w:ascii="黑体" w:hAnsi="黑体" w:eastAsia="黑体"/>
          <w:sz w:val="32"/>
        </w:rPr>
      </w:pPr>
      <w:bookmarkStart w:id="11" w:name="_Toc219454867"/>
      <w:r>
        <w:rPr>
          <w:rFonts w:hint="eastAsia" w:ascii="黑体" w:hAnsi="黑体" w:eastAsia="黑体"/>
          <w:sz w:val="32"/>
        </w:rPr>
        <w:t>第三章</w:t>
      </w:r>
      <w:r>
        <w:rPr>
          <w:rFonts w:ascii="黑体" w:hAnsi="黑体" w:eastAsia="黑体"/>
          <w:sz w:val="32"/>
        </w:rPr>
        <w:t xml:space="preserve"> </w:t>
      </w:r>
      <w:r>
        <w:rPr>
          <w:rFonts w:hint="eastAsia" w:ascii="黑体" w:hAnsi="黑体" w:eastAsia="黑体"/>
          <w:sz w:val="32"/>
        </w:rPr>
        <w:t>推进科技创新与产业创新深度融合</w:t>
      </w:r>
      <w:bookmarkEnd w:id="11"/>
    </w:p>
    <w:p>
      <w:pPr>
        <w:spacing w:line="580" w:lineRule="exact"/>
        <w:ind w:firstLine="640" w:firstLineChars="200"/>
        <w:outlineLvl w:val="1"/>
        <w:rPr>
          <w:rFonts w:ascii="楷体_GB2312" w:hAnsi="Times New Roman" w:eastAsia="楷体_GB2312"/>
          <w:sz w:val="32"/>
        </w:rPr>
      </w:pPr>
      <w:bookmarkStart w:id="12" w:name="_Toc219454868"/>
      <w:r>
        <w:rPr>
          <w:rFonts w:hint="eastAsia" w:ascii="楷体_GB2312" w:hAnsi="Times New Roman" w:eastAsia="楷体_GB2312"/>
          <w:sz w:val="32"/>
        </w:rPr>
        <w:t>第一节</w:t>
      </w:r>
      <w:r>
        <w:rPr>
          <w:rFonts w:ascii="楷体_GB2312" w:hAnsi="Times New Roman" w:eastAsia="楷体_GB2312"/>
          <w:sz w:val="32"/>
        </w:rPr>
        <w:t xml:space="preserve"> </w:t>
      </w:r>
      <w:r>
        <w:rPr>
          <w:rFonts w:hint="eastAsia" w:ascii="楷体_GB2312" w:hAnsi="Times New Roman" w:eastAsia="楷体_GB2312"/>
          <w:sz w:val="32"/>
        </w:rPr>
        <w:t>强化企业科技创新主体地位</w:t>
      </w:r>
      <w:bookmarkEnd w:id="12"/>
    </w:p>
    <w:p>
      <w:pPr>
        <w:spacing w:line="580" w:lineRule="exact"/>
        <w:ind w:firstLine="640" w:firstLineChars="200"/>
        <w:rPr>
          <w:rFonts w:ascii="楷体_GB2312" w:hAnsi="Times New Roman" w:eastAsia="楷体_GB2312"/>
          <w:sz w:val="32"/>
        </w:rPr>
      </w:pPr>
      <w:r>
        <w:rPr>
          <w:rFonts w:hint="eastAsia" w:ascii="楷体_GB2312" w:hAnsi="Times New Roman" w:eastAsia="楷体_GB2312"/>
          <w:sz w:val="32"/>
        </w:rPr>
        <w:t>一、推动创新资源向企业集聚</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推动健全企业参与地方科技创新决策的机制。不定期召开企业家科技创新咨询座谈会议，组织沟通交流，开展问计咨询。在科技规划编制过程中更大发挥企业专家作用，加大科技规划和重点领域专项规划面向企业的宣贯力度。提升企业在地方科技政策制定、科技项目立项过程中的参与度，在科技项目年度指南编制中的重点产业领域技术方向更多征求企业的需求和意见，提高指南编制及项目评审中企业专家的比例。健全需求导向和问题导向的科技项目形成方式，强化从企业和产业实践中凝练应用研究任务，推动重大科技项目需求由企业提出、攻关任务由企业牵头，攻关成果评价和应用由企业主导。</w:t>
      </w:r>
    </w:p>
    <w:p>
      <w:pPr>
        <w:spacing w:line="580" w:lineRule="exact"/>
        <w:ind w:left="105" w:leftChars="50" w:firstLine="480" w:firstLineChars="150"/>
        <w:rPr>
          <w:rFonts w:ascii="Times New Roman" w:hAnsi="Times New Roman" w:eastAsia="仿宋_GB2312" w:cs="仿宋_GB2312"/>
          <w:sz w:val="32"/>
          <w:szCs w:val="32"/>
        </w:rPr>
      </w:pPr>
      <w:r>
        <w:rPr>
          <w:rFonts w:hint="eastAsia" w:ascii="Times New Roman" w:hAnsi="Times New Roman" w:eastAsia="仿宋_GB2312" w:cs="仿宋_GB2312"/>
          <w:sz w:val="32"/>
          <w:szCs w:val="32"/>
        </w:rPr>
        <w:t>完善企业研发投入的政策支持措施。切实落实企业研发费用加计扣除、高新技术企业所得税减免、科技企业孵化载体税收优惠、技术交易税收优惠等普惠性税收优惠政策。试点推进重点企业建立研发准备金制度，</w:t>
      </w:r>
      <w:r>
        <w:rPr>
          <w:rFonts w:ascii="仿宋_GB2312" w:hAnsi="仿宋_GB2312" w:eastAsia="仿宋_GB2312" w:cs="仿宋_GB2312"/>
          <w:color w:val="000000"/>
          <w:sz w:val="32"/>
        </w:rPr>
        <w:t>鼓励、引导我市龙头科技企业逐步建立、完善适合自身发展需求的研发准备金制度，</w:t>
      </w:r>
      <w:r>
        <w:rPr>
          <w:rFonts w:hint="eastAsia" w:ascii="Times New Roman" w:hAnsi="Times New Roman" w:eastAsia="仿宋_GB2312" w:cs="仿宋_GB2312"/>
          <w:sz w:val="32"/>
          <w:szCs w:val="32"/>
        </w:rPr>
        <w:t>提升企业研发活动计划性与投入持续性。支持镇街（园区）针对企业研发投入加大支持力度，降低企业研发成本。</w:t>
      </w:r>
    </w:p>
    <w:p>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rPr>
        <w:t>推动企业科研组织水平提升。推动符合条件的企业研发机构积极申报重点实验室、工程技术研究中心、企业技术中心、制造业创新中心等</w:t>
      </w:r>
      <w:r>
        <w:rPr>
          <w:rFonts w:hint="eastAsia" w:ascii="Times New Roman" w:hAnsi="Times New Roman" w:eastAsia="仿宋_GB2312" w:cs="仿宋_GB2312"/>
          <w:sz w:val="32"/>
          <w:szCs w:val="32"/>
          <w:u w:val="none"/>
        </w:rPr>
        <w:t>省、市级研发机构认定，引导企业研发组织化水平提升。鼓励企业联合高校、科研院所共建高能级</w:t>
      </w:r>
      <w:r>
        <w:rPr>
          <w:rFonts w:hint="eastAsia" w:ascii="Times New Roman" w:hAnsi="Times New Roman" w:eastAsia="仿宋_GB2312" w:cs="仿宋_GB2312"/>
          <w:sz w:val="32"/>
          <w:szCs w:val="32"/>
        </w:rPr>
        <w:t>企业</w:t>
      </w:r>
      <w:r>
        <w:rPr>
          <w:rFonts w:hint="eastAsia" w:ascii="Times New Roman" w:hAnsi="Times New Roman" w:eastAsia="仿宋_GB2312" w:cs="仿宋_GB2312"/>
          <w:sz w:val="32"/>
          <w:szCs w:val="32"/>
          <w:u w:val="none"/>
        </w:rPr>
        <w:t>研发平台，赋予企业在技术路线选择、团队组建、资金使用方向等方面更大的自主权。</w:t>
      </w:r>
    </w:p>
    <w:p>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rPr>
        <w:t>促进高层次人才向企业集聚。</w:t>
      </w:r>
      <w:r>
        <w:rPr>
          <w:rFonts w:hint="eastAsia" w:ascii="Times New Roman" w:hAnsi="Times New Roman" w:eastAsia="仿宋_GB2312" w:cs="仿宋_GB2312"/>
          <w:sz w:val="32"/>
          <w:szCs w:val="32"/>
          <w:highlight w:val="none"/>
          <w:u w:val="none"/>
        </w:rPr>
        <w:t>畅通高校、科研院所和企业人才交流通道</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highlight w:val="none"/>
          <w:u w:val="none"/>
        </w:rPr>
        <w:t>支持高校院所、企业探索高层次人才“校聘企用”“互聘共享”等用才新模式。支持高校院所科研人员通过参与合作、兼职创新或在职创办企业、离岗创办企业等形式到企业开展科技创新和科技成果转化工作。支持高校院所采取柔性引进或全时全职聘用等方式，从企业引进急需专业人才、卓越工程师从事教学科研工作。推行校企双导师联合授课，吸引企业工程师深度参与培养方案制定和课程建设。</w:t>
      </w:r>
      <w:r>
        <w:rPr>
          <w:rFonts w:hint="eastAsia" w:ascii="Times New Roman" w:hAnsi="Times New Roman" w:eastAsia="仿宋_GB2312" w:cs="仿宋_GB2312"/>
          <w:sz w:val="32"/>
          <w:szCs w:val="32"/>
        </w:rPr>
        <w:t>探索选派“科技副总”支持企业开展科技创新</w:t>
      </w:r>
    </w:p>
    <w:p>
      <w:pPr>
        <w:spacing w:line="580" w:lineRule="exact"/>
        <w:ind w:firstLine="640" w:firstLineChars="200"/>
        <w:rPr>
          <w:rFonts w:ascii="楷体_GB2312" w:hAnsi="Times New Roman" w:eastAsia="楷体_GB2312"/>
          <w:sz w:val="32"/>
        </w:rPr>
      </w:pPr>
      <w:r>
        <w:rPr>
          <w:rFonts w:hint="eastAsia" w:ascii="楷体_GB2312" w:hAnsi="Times New Roman" w:eastAsia="楷体_GB2312"/>
          <w:sz w:val="32"/>
        </w:rPr>
        <w:t>二、健全科技型企业梯度培育机制</w:t>
      </w:r>
    </w:p>
    <w:p>
      <w:pPr>
        <w:spacing w:line="580" w:lineRule="exact"/>
        <w:ind w:firstLine="640" w:firstLineChars="200"/>
        <w:rPr>
          <w:u w:val="none"/>
        </w:rPr>
      </w:pPr>
      <w:r>
        <w:rPr>
          <w:rFonts w:ascii="仿宋_GB2312" w:hAnsi="仿宋_GB2312" w:eastAsia="仿宋_GB2312" w:cs="仿宋_GB2312"/>
          <w:color w:val="000000"/>
          <w:sz w:val="32"/>
          <w:u w:val="none"/>
        </w:rPr>
        <w:t>建立</w:t>
      </w:r>
      <w:r>
        <w:rPr>
          <w:rFonts w:ascii="Times New Roman" w:hAnsi="Times New Roman" w:cs="Times New Roman"/>
          <w:color w:val="000000"/>
          <w:sz w:val="32"/>
          <w:u w:val="none"/>
        </w:rPr>
        <w:t>“</w:t>
      </w:r>
      <w:r>
        <w:rPr>
          <w:rFonts w:ascii="仿宋_GB2312" w:hAnsi="仿宋_GB2312" w:eastAsia="仿宋_GB2312" w:cs="仿宋_GB2312"/>
          <w:color w:val="000000"/>
          <w:sz w:val="32"/>
          <w:u w:val="none"/>
        </w:rPr>
        <w:t>科技型中小企业</w:t>
      </w:r>
      <w:r>
        <w:rPr>
          <w:rFonts w:ascii="Times New Roman" w:hAnsi="Times New Roman" w:cs="Times New Roman"/>
          <w:color w:val="000000"/>
          <w:sz w:val="32"/>
          <w:u w:val="none"/>
        </w:rPr>
        <w:t>—</w:t>
      </w:r>
      <w:r>
        <w:rPr>
          <w:rFonts w:ascii="仿宋_GB2312" w:hAnsi="仿宋_GB2312" w:eastAsia="仿宋_GB2312" w:cs="仿宋_GB2312"/>
          <w:color w:val="000000"/>
          <w:sz w:val="32"/>
          <w:u w:val="none"/>
        </w:rPr>
        <w:t>高新技术企业</w:t>
      </w:r>
      <w:r>
        <w:rPr>
          <w:rFonts w:ascii="Times New Roman" w:hAnsi="Times New Roman" w:cs="Times New Roman"/>
          <w:color w:val="000000"/>
          <w:sz w:val="32"/>
          <w:u w:val="none"/>
        </w:rPr>
        <w:t>—</w:t>
      </w:r>
      <w:r>
        <w:rPr>
          <w:rFonts w:ascii="仿宋_GB2312" w:hAnsi="仿宋_GB2312" w:eastAsia="仿宋_GB2312" w:cs="仿宋_GB2312"/>
          <w:color w:val="000000"/>
          <w:sz w:val="32"/>
          <w:u w:val="none"/>
        </w:rPr>
        <w:t>规上高新技术企业</w:t>
      </w:r>
      <w:r>
        <w:rPr>
          <w:rFonts w:ascii="Times New Roman" w:hAnsi="Times New Roman" w:cs="Times New Roman"/>
          <w:color w:val="000000"/>
          <w:sz w:val="32"/>
          <w:u w:val="none"/>
        </w:rPr>
        <w:t>—</w:t>
      </w:r>
      <w:r>
        <w:rPr>
          <w:rFonts w:ascii="仿宋_GB2312" w:hAnsi="仿宋_GB2312" w:eastAsia="仿宋_GB2312" w:cs="仿宋_GB2312"/>
          <w:color w:val="000000"/>
          <w:sz w:val="32"/>
          <w:u w:val="none"/>
        </w:rPr>
        <w:t>科技领军企业</w:t>
      </w:r>
      <w:r>
        <w:rPr>
          <w:rFonts w:ascii="Times New Roman" w:hAnsi="Times New Roman" w:cs="Times New Roman"/>
          <w:color w:val="000000"/>
          <w:sz w:val="32"/>
          <w:u w:val="none"/>
        </w:rPr>
        <w:t>”</w:t>
      </w:r>
      <w:r>
        <w:rPr>
          <w:rFonts w:ascii="仿宋_GB2312" w:hAnsi="仿宋_GB2312" w:eastAsia="仿宋_GB2312" w:cs="仿宋_GB2312"/>
          <w:color w:val="000000"/>
          <w:sz w:val="32"/>
          <w:u w:val="none"/>
        </w:rPr>
        <w:t>的科技型企业培育梯队，强化细分领域的技术攻关、精准补链和配套支撑。培育壮大科技型中小企业，鼓励中小企业开展高新技术产品（服务）攻关，</w:t>
      </w:r>
      <w:r>
        <w:rPr>
          <w:rFonts w:hint="eastAsia" w:ascii="仿宋_GB2312" w:hAnsi="仿宋_GB2312" w:eastAsia="仿宋_GB2312" w:cs="仿宋_GB2312"/>
          <w:color w:val="000000"/>
          <w:sz w:val="32"/>
        </w:rPr>
        <w:t>增强</w:t>
      </w:r>
      <w:r>
        <w:rPr>
          <w:rFonts w:ascii="仿宋_GB2312" w:hAnsi="仿宋_GB2312" w:eastAsia="仿宋_GB2312" w:cs="仿宋_GB2312"/>
          <w:color w:val="000000"/>
          <w:sz w:val="32"/>
          <w:u w:val="none"/>
        </w:rPr>
        <w:t>科技型中小企业</w:t>
      </w:r>
      <w:r>
        <w:rPr>
          <w:rFonts w:hint="eastAsia" w:ascii="仿宋_GB2312" w:hAnsi="仿宋_GB2312" w:eastAsia="仿宋_GB2312" w:cs="仿宋_GB2312"/>
          <w:color w:val="000000"/>
          <w:sz w:val="32"/>
        </w:rPr>
        <w:t>创新活力。</w:t>
      </w:r>
      <w:r>
        <w:rPr>
          <w:rFonts w:ascii="仿宋_GB2312" w:hAnsi="仿宋_GB2312" w:eastAsia="仿宋_GB2312" w:cs="仿宋_GB2312"/>
          <w:color w:val="000000"/>
          <w:sz w:val="32"/>
          <w:u w:val="none"/>
        </w:rPr>
        <w:t>大力实施</w:t>
      </w:r>
      <w:r>
        <w:rPr>
          <w:rFonts w:ascii="Times New Roman" w:hAnsi="Times New Roman" w:cs="Times New Roman"/>
          <w:color w:val="000000"/>
          <w:sz w:val="32"/>
          <w:u w:val="none"/>
        </w:rPr>
        <w:t>“</w:t>
      </w:r>
      <w:r>
        <w:rPr>
          <w:rFonts w:ascii="仿宋_GB2312" w:hAnsi="仿宋_GB2312" w:eastAsia="仿宋_GB2312" w:cs="仿宋_GB2312"/>
          <w:color w:val="000000"/>
          <w:sz w:val="32"/>
          <w:u w:val="none"/>
        </w:rPr>
        <w:t>高新技术企业规模化、规上企业高新化</w:t>
      </w:r>
      <w:r>
        <w:rPr>
          <w:rFonts w:ascii="Times New Roman" w:hAnsi="Times New Roman" w:cs="Times New Roman"/>
          <w:color w:val="000000"/>
          <w:sz w:val="32"/>
          <w:u w:val="none"/>
        </w:rPr>
        <w:t>”</w:t>
      </w:r>
      <w:r>
        <w:rPr>
          <w:rFonts w:ascii="仿宋_GB2312" w:hAnsi="仿宋_GB2312" w:eastAsia="仿宋_GB2312" w:cs="仿宋_GB2312"/>
          <w:color w:val="000000"/>
          <w:sz w:val="32"/>
          <w:u w:val="none"/>
        </w:rPr>
        <w:t>行动，鼓励企业优化研发管理体系，推动科技型中小企业成长为高新技术企业；常态化挖掘和对接企业技术需求，鼓励科技领军企业向中小企业开放创新资源和应用场景，带动企业积极开展关键技术攻关。支持科技领军企业在引领性、颠覆性技术创新、产业技术协同攻关、国家和省重大科技任务承接等方面发挥带头作用。建立独角兽培育企业挖掘机制，推动其进入国内外知名独角兽企业榜单。</w:t>
      </w:r>
    </w:p>
    <w:p>
      <w:pPr>
        <w:spacing w:line="580" w:lineRule="exact"/>
        <w:ind w:firstLine="640" w:firstLineChars="200"/>
        <w:outlineLvl w:val="1"/>
        <w:rPr>
          <w:rFonts w:ascii="楷体_GB2312" w:hAnsi="Times New Roman" w:eastAsia="楷体_GB2312"/>
          <w:sz w:val="32"/>
        </w:rPr>
      </w:pPr>
      <w:bookmarkStart w:id="13" w:name="_Toc219454869"/>
      <w:r>
        <w:rPr>
          <w:rFonts w:hint="eastAsia" w:ascii="楷体_GB2312" w:hAnsi="Times New Roman" w:eastAsia="楷体_GB2312"/>
          <w:sz w:val="32"/>
        </w:rPr>
        <w:t>第二节</w:t>
      </w:r>
      <w:r>
        <w:rPr>
          <w:rFonts w:ascii="楷体_GB2312" w:hAnsi="Times New Roman" w:eastAsia="楷体_GB2312"/>
          <w:sz w:val="32"/>
        </w:rPr>
        <w:t xml:space="preserve"> </w:t>
      </w:r>
      <w:r>
        <w:rPr>
          <w:rFonts w:hint="eastAsia" w:ascii="楷体_GB2312" w:hAnsi="Times New Roman" w:eastAsia="楷体_GB2312"/>
          <w:sz w:val="32"/>
        </w:rPr>
        <w:t>促进科技成果转化应用</w:t>
      </w:r>
      <w:bookmarkEnd w:id="13"/>
    </w:p>
    <w:p>
      <w:pPr>
        <w:spacing w:line="580" w:lineRule="exact"/>
        <w:ind w:firstLine="640" w:firstLineChars="200"/>
        <w:rPr>
          <w:rFonts w:ascii="楷体_GB2312" w:hAnsi="Times New Roman" w:eastAsia="楷体_GB2312" w:cs="Times New Roman"/>
          <w:sz w:val="32"/>
          <w:u w:val="none"/>
        </w:rPr>
      </w:pPr>
      <w:r>
        <w:rPr>
          <w:rFonts w:hint="eastAsia" w:ascii="楷体_GB2312" w:hAnsi="Times New Roman" w:eastAsia="楷体_GB2312" w:cs="Times New Roman"/>
          <w:sz w:val="32"/>
          <w:u w:val="none"/>
        </w:rPr>
        <w:t>一、建设一批概念验证中心与中试平台</w:t>
      </w:r>
    </w:p>
    <w:p>
      <w:pPr>
        <w:spacing w:line="58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u w:val="none"/>
        </w:rPr>
        <w:t>建设一批概念验证中心与中试平台。</w:t>
      </w:r>
      <w:r>
        <w:rPr>
          <w:rFonts w:hint="eastAsia" w:ascii="Times New Roman" w:hAnsi="Times New Roman" w:eastAsia="仿宋_GB2312" w:cs="Times New Roman"/>
          <w:sz w:val="32"/>
        </w:rPr>
        <w:t>以自上而下布局和市场主体自主建设相结合的方式，支持龙头企业、科研机构、高校院所等主体立足东莞现代化产业体系，分批有序布局建设一批概念验证中心、中试平台等新型载体。完善“概念验证-中试熟化-产业孵化”的协同机制，加快构建“技术研发+中试平台+专业孵化+天使基金+应用场景”五位一体的中试产业生态，加速科技成果从实验室走向市场。</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u w:val="none"/>
        </w:rPr>
        <w:t>加快应用场景培育和开放。聚焦重点产业以及重点公共服务领域，</w:t>
      </w:r>
      <w:r>
        <w:rPr>
          <w:rFonts w:hint="eastAsia" w:ascii="Times New Roman" w:hAnsi="Times New Roman" w:eastAsia="仿宋_GB2312" w:cs="仿宋_GB2312"/>
          <w:sz w:val="32"/>
          <w:szCs w:val="32"/>
        </w:rPr>
        <w:t>培育或挖掘一批行业领域集成式场景、高价值小切口场景。构建政府牵头、多方参与、择优分批培育的应用场景建设机制，建立常态化应用场景清单征集、遴选、分布机制，促进场景资源开放和高效配置，推动新场景大规模应用，构建“技术突破—场景验证—产业应用—体系升级”的快速迭代创新机制。推动行业主管部门、镇街（园区）、国有企事业单位以及引导行业龙头企业、平台型机构等开放应用场景，促进科技型企业在真实市场环境中进行技术验证和产品迭代，加速科技成果向现实生产力转化。</w:t>
      </w:r>
    </w:p>
    <w:p>
      <w:pPr>
        <w:spacing w:line="580" w:lineRule="exact"/>
        <w:ind w:firstLine="640" w:firstLineChars="200"/>
        <w:rPr>
          <w:rFonts w:ascii="Times New Roman" w:hAnsi="Times New Roman" w:eastAsia="仿宋_GB2312"/>
          <w:sz w:val="32"/>
          <w:u w:val="none"/>
        </w:rPr>
      </w:pPr>
      <w:r>
        <w:rPr>
          <w:rFonts w:hint="eastAsia" w:ascii="Times New Roman" w:hAnsi="Times New Roman" w:eastAsia="仿宋_GB2312"/>
          <w:sz w:val="32"/>
          <w:u w:val="none"/>
        </w:rPr>
        <w:t>推进新型研发机构高质量发展。鼓励和规范发展新型研发机构，积极探索分层分类管理模式。对存量共建类新型研发机构，以市场化改革为方向，多措并举，“一院一策”逐步推进新型研发机构提质增效。推动新型研发机构聚焦中试验证与科技成果转化的定位，培育壮大共性技术开发、中试验证、成果转化孵化等核心业务，加强技术开发人才、技术经理人、股权投资人才等专业人才梯队建设。围绕传统产业转型升级、战略性新兴产业与未来产业发展布局需要，鼓励国内外高校、科研机构和行业龙头企业汇聚高端创新资源在莞新建以市场化投资为主的新型研发机构，研究国资国企参与共建新型研发机构的实施路径。择优支持有条件的新型研发机构开展二期建设，积极培育省级标杆型新型研发机构。</w:t>
      </w:r>
    </w:p>
    <w:p>
      <w:pPr>
        <w:spacing w:line="580" w:lineRule="exact"/>
        <w:ind w:firstLine="640" w:firstLineChars="200"/>
        <w:rPr>
          <w:rFonts w:ascii="楷体_GB2312" w:hAnsi="Times New Roman" w:eastAsia="楷体_GB2312" w:cs="Times New Roman"/>
          <w:sz w:val="32"/>
        </w:rPr>
      </w:pPr>
      <w:r>
        <w:rPr>
          <w:rFonts w:hint="eastAsia" w:ascii="楷体_GB2312" w:hAnsi="Times New Roman" w:eastAsia="楷体_GB2312" w:cs="Times New Roman"/>
          <w:sz w:val="32"/>
        </w:rPr>
        <w:t>二、完善科技成果转化服务体系</w:t>
      </w:r>
    </w:p>
    <w:p>
      <w:pPr>
        <w:spacing w:line="580" w:lineRule="exact"/>
        <w:ind w:firstLine="640" w:firstLineChars="200"/>
        <w:rPr>
          <w:rFonts w:ascii="Times New Roman" w:hAnsi="Times New Roman" w:eastAsia="仿宋_GB2312"/>
          <w:sz w:val="32"/>
          <w:u w:val="none"/>
        </w:rPr>
      </w:pPr>
      <w:r>
        <w:rPr>
          <w:rFonts w:hint="eastAsia" w:ascii="Times New Roman" w:hAnsi="Times New Roman" w:eastAsia="仿宋_GB2312"/>
          <w:sz w:val="32"/>
        </w:rPr>
        <w:t>建强</w:t>
      </w:r>
      <w:r>
        <w:rPr>
          <w:rFonts w:hint="eastAsia" w:ascii="Times New Roman" w:hAnsi="Times New Roman" w:eastAsia="仿宋_GB2312"/>
          <w:sz w:val="32"/>
          <w:u w:val="none"/>
        </w:rPr>
        <w:t>技术经理人队伍。加快培育一支标准化、规范化、专业化的技术经理人队伍，完善技术经理人评价、使用</w:t>
      </w:r>
      <w:r>
        <w:rPr>
          <w:rFonts w:hint="eastAsia" w:ascii="Times New Roman" w:hAnsi="Times New Roman" w:eastAsia="仿宋_GB2312"/>
          <w:sz w:val="32"/>
        </w:rPr>
        <w:t>与</w:t>
      </w:r>
      <w:r>
        <w:rPr>
          <w:rFonts w:hint="eastAsia" w:ascii="Times New Roman" w:hAnsi="Times New Roman" w:eastAsia="仿宋_GB2312"/>
          <w:sz w:val="32"/>
          <w:u w:val="none"/>
        </w:rPr>
        <w:t>激励机制，培育从项目挖掘到产业化落地的全周期服务能力。</w:t>
      </w:r>
    </w:p>
    <w:p>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提升</w:t>
      </w:r>
      <w:r>
        <w:rPr>
          <w:rFonts w:hint="eastAsia" w:ascii="Times New Roman" w:hAnsi="Times New Roman" w:eastAsia="仿宋_GB2312" w:cs="仿宋_GB2312"/>
          <w:sz w:val="32"/>
          <w:szCs w:val="32"/>
          <w:u w:val="none"/>
        </w:rPr>
        <w:t>科技企业孵化载体。</w:t>
      </w:r>
      <w:r>
        <w:rPr>
          <w:rFonts w:hint="eastAsia" w:ascii="Times New Roman" w:hAnsi="Times New Roman" w:eastAsia="仿宋_GB2312" w:cs="仿宋_GB2312"/>
          <w:sz w:val="32"/>
          <w:szCs w:val="32"/>
        </w:rPr>
        <w:t>支持科技企业孵化器（含加速器、众创空间）积极申报认定标准级孵化器、卓越级孵化器，引导孵化载体构建“基础服务+专业服务+产业对接+投资赋能”的深度孵化模式，支撑科技型企业培育和产业高质量发展。</w:t>
      </w:r>
    </w:p>
    <w:p>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建设大学科技园。</w:t>
      </w:r>
      <w:r>
        <w:rPr>
          <w:rFonts w:hint="eastAsia" w:ascii="Times New Roman" w:hAnsi="Times New Roman" w:eastAsia="仿宋_GB2312" w:cs="仿宋_GB2312"/>
          <w:sz w:val="32"/>
          <w:szCs w:val="32"/>
        </w:rPr>
        <w:t>支持</w:t>
      </w:r>
      <w:r>
        <w:rPr>
          <w:rFonts w:hint="eastAsia" w:ascii="Times New Roman" w:hAnsi="Times New Roman" w:eastAsia="仿宋_GB2312"/>
          <w:sz w:val="32"/>
        </w:rPr>
        <w:t>东莞理工学院大学科技园建设，支持申报国家大学科学园，建设创新要素融汇、聚变的协同创新生态体系。</w:t>
      </w:r>
      <w:r>
        <w:rPr>
          <w:rFonts w:hint="eastAsia" w:ascii="Times New Roman" w:hAnsi="Times New Roman" w:eastAsia="仿宋_GB2312" w:cs="仿宋_GB2312"/>
          <w:sz w:val="32"/>
          <w:szCs w:val="32"/>
        </w:rPr>
        <w:t>推进“环东莞理工学院产业科技创新带”建设，引导技术转移中心、企业研发机构、概念验证中心、中试基地等科技创新资源集聚发展，打造科技成果转化新高地。</w:t>
      </w:r>
      <w:r>
        <w:rPr>
          <w:rFonts w:hint="eastAsia" w:ascii="Times New Roman" w:hAnsi="Times New Roman" w:eastAsia="仿宋_GB2312" w:cs="仿宋_GB2312"/>
          <w:sz w:val="32"/>
          <w:szCs w:val="32"/>
          <w:u w:val="none"/>
        </w:rPr>
        <w:t>推动香港城市大学（东莞）、大湾区大学等高校加强创新资源汇聚，完善校内科技成果转化机制，稳步推进大学科技园建设。</w:t>
      </w:r>
    </w:p>
    <w:p>
      <w:pPr>
        <w:spacing w:line="580" w:lineRule="exact"/>
        <w:ind w:firstLine="640" w:firstLineChars="200"/>
        <w:rPr>
          <w:rFonts w:ascii="Times New Roman" w:hAnsi="Times New Roman" w:eastAsia="仿宋_GB2312"/>
          <w:sz w:val="32"/>
          <w:u w:val="none"/>
        </w:rPr>
      </w:pPr>
      <w:r>
        <w:rPr>
          <w:rFonts w:hint="eastAsia" w:ascii="Times New Roman" w:hAnsi="Times New Roman" w:eastAsia="仿宋_GB2312" w:cs="仿宋_GB2312"/>
          <w:sz w:val="32"/>
          <w:szCs w:val="32"/>
        </w:rPr>
        <w:t>提升</w:t>
      </w:r>
      <w:r>
        <w:rPr>
          <w:rFonts w:hint="eastAsia" w:ascii="Times New Roman" w:hAnsi="Times New Roman" w:eastAsia="仿宋_GB2312" w:cs="仿宋_GB2312"/>
          <w:sz w:val="32"/>
          <w:szCs w:val="32"/>
          <w:u w:val="none"/>
        </w:rPr>
        <w:t>创新创业综合体。推动有条件的镇街（园区）联合国资平台打造创新资源、人才资源集聚的创新创业综合体，吸引科技成果落地转化，建设成为镇街（园区）新质生产力培育策源地。完善创新创业综合体管理体制，优化政策配套支持措施。</w:t>
      </w:r>
    </w:p>
    <w:p>
      <w:pPr>
        <w:spacing w:line="580" w:lineRule="exact"/>
        <w:ind w:firstLine="640" w:firstLineChars="200"/>
        <w:rPr>
          <w:rFonts w:ascii="楷体_GB2312" w:hAnsi="Times New Roman" w:eastAsia="楷体_GB2312" w:cs="Times New Roman"/>
          <w:sz w:val="32"/>
          <w:u w:val="none"/>
        </w:rPr>
      </w:pPr>
      <w:r>
        <w:rPr>
          <w:rFonts w:hint="eastAsia" w:ascii="楷体_GB2312" w:hAnsi="Times New Roman" w:eastAsia="楷体_GB2312" w:cs="Times New Roman"/>
          <w:sz w:val="32"/>
          <w:u w:val="none"/>
        </w:rPr>
        <w:t>三、深化科技成果转化机制改革</w:t>
      </w:r>
    </w:p>
    <w:p>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深化科技成果赋权和管理改革。推进职务科技成果“先用后转”改革，鼓励高校、科研机构、医疗卫生机构等单位采取先使用后付费、先使用后合作等方式开展科技成果转化</w:t>
      </w:r>
      <w:r>
        <w:rPr>
          <w:rFonts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rPr>
        <w:t>鼓励和引导高校院所建立职务科技成果库，采取“零门槛费</w:t>
      </w:r>
      <w:r>
        <w:rPr>
          <w:rFonts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rPr>
        <w:t>阶段性支付</w:t>
      </w:r>
      <w:r>
        <w:rPr>
          <w:rFonts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rPr>
        <w:t>收入提成”“延期支付”等方式支付许可费</w:t>
      </w:r>
      <w:r>
        <w:rPr>
          <w:rFonts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rPr>
        <w:t>支持担保、保险机构按照商业可持续原则提供相关服务。探索建设职务科技成果转化“安心屋”，提供职务科技成果转化申请、审批、监管、尽职免责全流程功能，实现“安心转、方便转”。试点开展科技成果转化国有资产管理改革，建立有别于一般国有资产的管理模式，形成单列的国有资产管理清单。</w:t>
      </w:r>
    </w:p>
    <w:p>
      <w:pPr>
        <w:spacing w:line="580" w:lineRule="exact"/>
        <w:ind w:firstLine="640" w:firstLineChars="200"/>
        <w:outlineLvl w:val="1"/>
        <w:rPr>
          <w:rFonts w:ascii="楷体_GB2312" w:hAnsi="Times New Roman" w:eastAsia="楷体_GB2312"/>
          <w:sz w:val="32"/>
        </w:rPr>
      </w:pPr>
      <w:bookmarkStart w:id="14" w:name="_Toc219454870"/>
      <w:r>
        <w:rPr>
          <w:rFonts w:hint="eastAsia" w:ascii="楷体_GB2312" w:hAnsi="Times New Roman" w:eastAsia="楷体_GB2312"/>
          <w:sz w:val="32"/>
        </w:rPr>
        <w:t>第三节</w:t>
      </w:r>
      <w:r>
        <w:rPr>
          <w:rFonts w:ascii="楷体_GB2312" w:hAnsi="Times New Roman" w:eastAsia="楷体_GB2312"/>
          <w:sz w:val="32"/>
        </w:rPr>
        <w:t xml:space="preserve">  </w:t>
      </w:r>
      <w:r>
        <w:rPr>
          <w:rFonts w:hint="eastAsia" w:ascii="楷体_GB2312" w:hAnsi="Times New Roman" w:eastAsia="楷体_GB2312"/>
          <w:sz w:val="32"/>
        </w:rPr>
        <w:t>提升科技金融赋能作用</w:t>
      </w:r>
      <w:bookmarkEnd w:id="14"/>
    </w:p>
    <w:p>
      <w:pPr>
        <w:spacing w:line="580" w:lineRule="exact"/>
        <w:ind w:firstLine="640" w:firstLineChars="200"/>
        <w:rPr>
          <w:rFonts w:ascii="楷体_GB2312" w:hAnsi="Times New Roman" w:eastAsia="楷体_GB2312" w:cs="Times New Roman"/>
          <w:sz w:val="32"/>
        </w:rPr>
      </w:pPr>
      <w:r>
        <w:rPr>
          <w:rFonts w:hint="eastAsia" w:ascii="楷体_GB2312" w:hAnsi="Times New Roman" w:eastAsia="楷体_GB2312" w:cs="Times New Roman"/>
          <w:sz w:val="32"/>
        </w:rPr>
        <w:t>一、促进创业风险投资做大做优</w:t>
      </w:r>
    </w:p>
    <w:p>
      <w:pPr>
        <w:spacing w:line="58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完善天使投资基金体系，用好天使投资基金，发挥国资国企投资引领作用，撬动社会资本投早、投小、投长期、投硬科技。完善市天使投资母基金对重大科技成果转化项目的“双轨制”投研方式。推动市内有基金牌照的企事业单位组建自主管理的风险投资基金。优化国有创业投资机构治理与激励机制，探索建立市场化的投资决策、员工跟投及超额收益奖励机制，建立健全容错免责和配套的业绩考核、尽责免责制度，实施差异化考核，淡化单一保值增值指标，突出对“投早、投小、投硬科技”、产业带动等整体效能的评价，为国资国企在科技金融领域发挥更大作用提供坚实的制度保障。持续落实落细鼓励创业投资企业和天使投资个人投资种子期、初创期科技型等企业的税收支持政策，加大政策宣传，优化纳税服务。</w:t>
      </w:r>
    </w:p>
    <w:p>
      <w:pPr>
        <w:spacing w:line="580" w:lineRule="exact"/>
        <w:ind w:firstLine="640" w:firstLineChars="200"/>
        <w:rPr>
          <w:rFonts w:ascii="楷体_GB2312" w:hAnsi="Times New Roman" w:eastAsia="楷体_GB2312" w:cs="Times New Roman"/>
          <w:sz w:val="32"/>
        </w:rPr>
      </w:pPr>
      <w:r>
        <w:rPr>
          <w:rFonts w:hint="eastAsia" w:ascii="楷体_GB2312" w:hAnsi="Times New Roman" w:eastAsia="楷体_GB2312" w:cs="Times New Roman"/>
          <w:sz w:val="32"/>
        </w:rPr>
        <w:t>二、完善科技信贷融资增信体系</w:t>
      </w:r>
    </w:p>
    <w:p>
      <w:pPr>
        <w:spacing w:line="58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引导东莞金融机构进一步完善“科技金融中心+科技支行+专营团队”的科技金融服务组织模式，积极设立和发展各类科技金融机构，为科创企业提供更加精准、更具针对性的服务。用好科技创新专项担保计划，推动政府性融资担保机构深化与银行业金融机构合作，针对初创企业、概念验证、中试验证和研发投入等风险较大、信贷投放存在顾虑的缺口环节开发风险分担产品。用好省科技信贷风险补偿资金作用，推动银行专门开发支持科技创新平台建设、技术攻关、科技成果转化等“粤科专项贷”产品，优化与省风险补偿政策联动，探索对我市政府性融资担保机构实施风险补偿。围绕概念验证、中试验证、新材料首批次应用等高风险环节，鼓励保险机构创新科技保险产品，推动科技保险“二次救济”机制落地，完善研发转化风险分担机制。</w:t>
      </w:r>
    </w:p>
    <w:p>
      <w:pPr>
        <w:spacing w:line="580" w:lineRule="exact"/>
        <w:ind w:firstLine="640" w:firstLineChars="200"/>
        <w:rPr>
          <w:rFonts w:ascii="楷体_GB2312" w:hAnsi="Times New Roman" w:eastAsia="楷体_GB2312" w:cs="Times New Roman"/>
          <w:sz w:val="32"/>
        </w:rPr>
      </w:pPr>
      <w:r>
        <w:rPr>
          <w:rFonts w:hint="eastAsia" w:ascii="楷体_GB2312" w:hAnsi="Times New Roman" w:eastAsia="楷体_GB2312" w:cs="Times New Roman"/>
          <w:sz w:val="32"/>
        </w:rPr>
        <w:t>三、提升科技金融综合服务体系效能</w:t>
      </w:r>
    </w:p>
    <w:p>
      <w:pPr>
        <w:spacing w:line="58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高标准建设松山湖科技金融集聚区，推动集聚区物理空间载体建设，通过政策引导和环境营造，吸引一批天使投资、创业投资、私募基金、合格境外有限合伙人（QFLP）、银行科技支行、证券、保险等机构区域性总部或专营机构落户，壮大科技金融服务力量。加强资源统筹与协调，搭建丰富多样的投资赋能场景，为各类创新主体提供投融资对接、空间入驻孵化、政策支持、产学研合作等多元化资源赋能。建立科技型企业融资推荐机制，研究具有东莞特色的“创新积分制”工具，构建“积分评价—精准画像—金融推荐—产业验证”的闭环机制。支持新型科技金融服务平台建设，推动企业数据信息共享共用，建设东莞科技金融“数智底座”，提升政策宣传与资源对接效能。</w:t>
      </w:r>
    </w:p>
    <w:p>
      <w:pPr>
        <w:spacing w:line="580" w:lineRule="exact"/>
        <w:ind w:firstLine="640" w:firstLineChars="200"/>
        <w:outlineLvl w:val="1"/>
        <w:rPr>
          <w:rFonts w:ascii="楷体_GB2312" w:hAnsi="Times New Roman" w:eastAsia="楷体_GB2312"/>
          <w:sz w:val="32"/>
        </w:rPr>
      </w:pPr>
      <w:bookmarkStart w:id="15" w:name="_Toc219454871"/>
      <w:r>
        <w:rPr>
          <w:rFonts w:hint="eastAsia" w:ascii="楷体_GB2312" w:hAnsi="Times New Roman" w:eastAsia="楷体_GB2312"/>
          <w:sz w:val="32"/>
        </w:rPr>
        <w:t>第四节</w:t>
      </w:r>
      <w:r>
        <w:rPr>
          <w:rFonts w:ascii="楷体_GB2312" w:hAnsi="Times New Roman" w:eastAsia="楷体_GB2312"/>
          <w:sz w:val="32"/>
        </w:rPr>
        <w:t xml:space="preserve"> </w:t>
      </w:r>
      <w:r>
        <w:rPr>
          <w:rFonts w:hint="eastAsia" w:ascii="楷体_GB2312" w:hAnsi="Times New Roman" w:eastAsia="楷体_GB2312"/>
          <w:sz w:val="32"/>
        </w:rPr>
        <w:t>强化知识产权创造和标准引领</w:t>
      </w:r>
      <w:bookmarkEnd w:id="15"/>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完善知识产权创造培育机制。加强专利导航及商标培育，推动组建产业知识产权创新联合体，促进知识产权与产业深度融合。加强科技计划项目知识产权全过程管理，建立健全重大科研项目专利导航工作机制，推动专利导航服务和支撑项目实施全过程。引导各类科技创新平台建立专利申请前评估制度。加快构建科技创新与知识产权协同发展生态体系，推进科技创新领域知识产权的高质量创造。</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促进知识产权转化运用。推进知识产权金融产品创新，完善质押、保险、证券化、上市服务等知识产权金融服务。推广专利开放许可工作，推进专利产品备案和密集型产品认定，在数字经济、智能制造、生命健康、新材料等领域构建重点产业科技创新成果专利池，开展专利池运营。</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促进科技创新与先进技术标准融合发展。健全技术标准体系，建立标准与专利协同创新机制，探索“专利导航—关键核心领域技术研发—专利标准化—质量技术基础服务—标准国际化”发展模式，完善重点科技创和产业领域标准必要专利工作机制，深入推进标准领航行动，推动拥有先进自主专利的创新主体将其专利技术纳入国际、国家、行业标准，形成标准必要专利。</w:t>
      </w:r>
    </w:p>
    <w:p>
      <w:pPr>
        <w:spacing w:line="580" w:lineRule="exact"/>
        <w:ind w:firstLine="640" w:firstLineChars="200"/>
        <w:outlineLvl w:val="1"/>
        <w:rPr>
          <w:rFonts w:ascii="楷体_GB2312" w:hAnsi="Times New Roman" w:eastAsia="楷体_GB2312"/>
          <w:sz w:val="32"/>
        </w:rPr>
      </w:pPr>
      <w:bookmarkStart w:id="16" w:name="_Toc219454872"/>
      <w:r>
        <w:rPr>
          <w:rFonts w:hint="eastAsia" w:ascii="楷体_GB2312" w:hAnsi="Times New Roman" w:eastAsia="楷体_GB2312"/>
          <w:sz w:val="32"/>
        </w:rPr>
        <w:t>第五节 壮大科技服务业</w:t>
      </w:r>
      <w:bookmarkEnd w:id="16"/>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cs="仿宋_GB2312"/>
          <w:sz w:val="32"/>
          <w:szCs w:val="32"/>
          <w:u w:val="none"/>
        </w:rPr>
        <w:t>加强部门间企业数据共享，筛选科技服务业潜力企业，建立潜力企业培育库，加强跟踪服务，推动科技服务业企业“小升规”。针对研发投入规模较大的重点企业，推广主辅分离、产研分离等模式，推动企业内部研发、设计等业务向独立化、规模化、产业化方向发展。建设科技服务业集聚区，吸引大型企业研发机构、外资企业研发机构、港澳台以及广深一线城市的优秀科技服务业企业落地东莞发展。全面落实生产性服务业“领航计划”，围绕科技研发、成果转化、技术推广应用等科技服务业重点领域，精准引育一批领航企业。</w:t>
      </w:r>
    </w:p>
    <w:p>
      <w:pPr>
        <w:spacing w:line="580" w:lineRule="exact"/>
        <w:ind w:firstLine="640" w:firstLineChars="200"/>
        <w:outlineLvl w:val="1"/>
        <w:rPr>
          <w:rFonts w:ascii="楷体_GB2312" w:hAnsi="Times New Roman" w:eastAsia="楷体_GB2312"/>
          <w:sz w:val="32"/>
        </w:rPr>
      </w:pPr>
      <w:bookmarkStart w:id="17" w:name="_Toc219454873"/>
      <w:r>
        <w:rPr>
          <w:rFonts w:hint="eastAsia" w:ascii="楷体_GB2312" w:hAnsi="Times New Roman" w:eastAsia="楷体_GB2312"/>
          <w:sz w:val="32"/>
        </w:rPr>
        <w:t>第六节</w:t>
      </w:r>
      <w:r>
        <w:rPr>
          <w:rFonts w:ascii="楷体_GB2312" w:hAnsi="Times New Roman" w:eastAsia="楷体_GB2312"/>
          <w:sz w:val="32"/>
        </w:rPr>
        <w:t xml:space="preserve"> </w:t>
      </w:r>
      <w:r>
        <w:rPr>
          <w:rFonts w:hint="eastAsia" w:ascii="楷体_GB2312" w:hAnsi="Times New Roman" w:eastAsia="楷体_GB2312"/>
          <w:sz w:val="32"/>
        </w:rPr>
        <w:t>推动建设区域创新集聚高地</w:t>
      </w:r>
      <w:bookmarkEnd w:id="17"/>
    </w:p>
    <w:p>
      <w:pPr>
        <w:spacing w:line="580" w:lineRule="exact"/>
        <w:ind w:firstLine="640" w:firstLineChars="200"/>
        <w:rPr>
          <w:rFonts w:ascii="Times New Roman" w:hAnsi="Times New Roman" w:eastAsia="仿宋_GB2312" w:cs="Helvetica"/>
          <w:color w:val="000000"/>
          <w:kern w:val="0"/>
          <w:sz w:val="32"/>
          <w:szCs w:val="27"/>
        </w:rPr>
      </w:pPr>
      <w:r>
        <w:rPr>
          <w:rFonts w:hint="eastAsia" w:ascii="Times New Roman" w:hAnsi="Times New Roman" w:eastAsia="仿宋_GB2312" w:cs="Helvetica"/>
          <w:color w:val="000000"/>
          <w:kern w:val="0"/>
          <w:sz w:val="32"/>
          <w:szCs w:val="27"/>
          <w:highlight w:val="none"/>
        </w:rPr>
        <w:t>强化松山湖高新区与松山湖科学城的创新引擎功能。进一步推动高能级科技创新资源向松山湖高新区集聚，发挥重大科技基础设施、国家级科研机构等战略科技力量的吸引力，推动更多高水平科研院所与企业研发机构在松山湖高新区与松山湖科学城落地。进一步增强松山湖科学城科技创新核心的引擎带动作用，</w:t>
      </w:r>
      <w:r>
        <w:rPr>
          <w:rFonts w:hint="eastAsia" w:ascii="Times New Roman" w:hAnsi="Times New Roman" w:eastAsia="仿宋_GB2312" w:cs="Helvetica"/>
          <w:color w:val="000000"/>
          <w:kern w:val="0"/>
          <w:sz w:val="32"/>
          <w:szCs w:val="27"/>
        </w:rPr>
        <w:t>借助</w:t>
      </w:r>
      <w:r>
        <w:rPr>
          <w:rFonts w:hint="eastAsia" w:ascii="Times New Roman" w:hAnsi="Times New Roman" w:eastAsia="仿宋_GB2312" w:cs="Helvetica"/>
          <w:color w:val="000000"/>
          <w:kern w:val="0"/>
          <w:sz w:val="32"/>
          <w:szCs w:val="27"/>
          <w:highlight w:val="none"/>
        </w:rPr>
        <w:t>重大科技基础设施</w:t>
      </w:r>
      <w:r>
        <w:rPr>
          <w:rFonts w:hint="eastAsia" w:ascii="Times New Roman" w:hAnsi="Times New Roman" w:eastAsia="仿宋_GB2312" w:cs="Helvetica"/>
          <w:color w:val="000000"/>
          <w:kern w:val="0"/>
          <w:sz w:val="32"/>
          <w:szCs w:val="27"/>
        </w:rPr>
        <w:t>、实验室</w:t>
      </w:r>
      <w:r>
        <w:rPr>
          <w:rFonts w:hint="eastAsia" w:ascii="Times New Roman" w:hAnsi="Times New Roman" w:eastAsia="仿宋_GB2312" w:cs="Helvetica"/>
          <w:color w:val="000000"/>
          <w:kern w:val="0"/>
          <w:sz w:val="32"/>
          <w:szCs w:val="27"/>
          <w:highlight w:val="none"/>
        </w:rPr>
        <w:t>队伍的</w:t>
      </w:r>
      <w:r>
        <w:rPr>
          <w:rFonts w:hint="eastAsia" w:ascii="Times New Roman" w:hAnsi="Times New Roman" w:eastAsia="仿宋_GB2312" w:cs="Helvetica"/>
          <w:color w:val="000000"/>
          <w:kern w:val="0"/>
          <w:sz w:val="32"/>
          <w:szCs w:val="27"/>
        </w:rPr>
        <w:t>科研优势，围绕新材料、生物医药、高端医疗器械等</w:t>
      </w:r>
      <w:r>
        <w:rPr>
          <w:rFonts w:hint="eastAsia" w:ascii="Times New Roman" w:hAnsi="Times New Roman" w:eastAsia="仿宋_GB2312" w:cs="Helvetica"/>
          <w:color w:val="000000"/>
          <w:kern w:val="0"/>
          <w:sz w:val="32"/>
          <w:szCs w:val="27"/>
          <w:highlight w:val="none"/>
        </w:rPr>
        <w:t>重点</w:t>
      </w:r>
      <w:r>
        <w:rPr>
          <w:rFonts w:hint="eastAsia" w:ascii="Times New Roman" w:hAnsi="Times New Roman" w:eastAsia="仿宋_GB2312" w:cs="Helvetica"/>
          <w:color w:val="000000"/>
          <w:kern w:val="0"/>
          <w:sz w:val="32"/>
          <w:szCs w:val="27"/>
        </w:rPr>
        <w:t>产业领域开展精准招商</w:t>
      </w:r>
      <w:r>
        <w:rPr>
          <w:rFonts w:hint="eastAsia" w:ascii="Times New Roman" w:hAnsi="Times New Roman" w:eastAsia="仿宋_GB2312" w:cs="Helvetica"/>
          <w:color w:val="000000"/>
          <w:kern w:val="0"/>
          <w:sz w:val="32"/>
          <w:szCs w:val="27"/>
          <w:highlight w:val="none"/>
        </w:rPr>
        <w:t>引智</w:t>
      </w:r>
      <w:r>
        <w:rPr>
          <w:rFonts w:hint="eastAsia" w:ascii="Times New Roman" w:hAnsi="Times New Roman" w:eastAsia="仿宋_GB2312" w:cs="Helvetica"/>
          <w:color w:val="000000"/>
          <w:kern w:val="0"/>
          <w:sz w:val="32"/>
          <w:szCs w:val="27"/>
        </w:rPr>
        <w:t>，推动一批重大项目</w:t>
      </w:r>
      <w:r>
        <w:rPr>
          <w:rFonts w:hint="eastAsia" w:ascii="Times New Roman" w:hAnsi="Times New Roman" w:eastAsia="仿宋_GB2312" w:cs="Helvetica"/>
          <w:color w:val="000000"/>
          <w:kern w:val="0"/>
          <w:sz w:val="32"/>
          <w:szCs w:val="27"/>
          <w:highlight w:val="none"/>
        </w:rPr>
        <w:t>与</w:t>
      </w:r>
      <w:r>
        <w:rPr>
          <w:rFonts w:hint="eastAsia" w:ascii="Times New Roman" w:hAnsi="Times New Roman" w:eastAsia="仿宋_GB2312" w:cs="Helvetica"/>
          <w:color w:val="000000"/>
          <w:kern w:val="0"/>
          <w:sz w:val="32"/>
          <w:szCs w:val="27"/>
        </w:rPr>
        <w:t>优质项目落地</w:t>
      </w:r>
      <w:r>
        <w:rPr>
          <w:rFonts w:hint="eastAsia" w:ascii="Times New Roman" w:hAnsi="Times New Roman" w:eastAsia="仿宋_GB2312" w:cs="Helvetica"/>
          <w:color w:val="000000"/>
          <w:kern w:val="0"/>
          <w:sz w:val="32"/>
          <w:szCs w:val="27"/>
          <w:highlight w:val="none"/>
        </w:rPr>
        <w:t>，打造全市培养新质生产力的重要策源地</w:t>
      </w:r>
      <w:r>
        <w:rPr>
          <w:rFonts w:hint="eastAsia" w:ascii="Times New Roman" w:hAnsi="Times New Roman" w:eastAsia="仿宋_GB2312" w:cs="Helvetica"/>
          <w:color w:val="000000"/>
          <w:kern w:val="0"/>
          <w:sz w:val="32"/>
          <w:szCs w:val="27"/>
        </w:rPr>
        <w:t>。</w:t>
      </w:r>
    </w:p>
    <w:p>
      <w:pPr>
        <w:ind w:firstLine="640" w:firstLineChars="200"/>
        <w:rPr>
          <w:rFonts w:ascii="仿宋_GB2312" w:hAnsi="仿宋_GB2312" w:eastAsia="仿宋_GB2312" w:cs="仿宋_GB2312"/>
          <w:sz w:val="32"/>
        </w:rPr>
      </w:pPr>
      <w:r>
        <w:rPr>
          <w:rFonts w:hint="eastAsia" w:ascii="Times New Roman" w:hAnsi="Times New Roman" w:eastAsia="仿宋_GB2312" w:cs="Helvetica"/>
          <w:color w:val="000000"/>
          <w:kern w:val="0"/>
          <w:sz w:val="32"/>
          <w:szCs w:val="27"/>
        </w:rPr>
        <w:t>提升滨海湾新区发展能级。</w:t>
      </w:r>
      <w:r>
        <w:rPr>
          <w:rFonts w:ascii="仿宋_GB2312" w:hAnsi="仿宋_GB2312" w:eastAsia="仿宋_GB2312" w:cs="仿宋_GB2312"/>
          <w:sz w:val="32"/>
        </w:rPr>
        <w:t>积极推动滨海湾新区提升对外开放能级，强化与海南自贸港、南沙和前海自贸区的战略对接，积极探索“东莞制造+海南政策”联动模式</w:t>
      </w:r>
      <w:r>
        <w:rPr>
          <w:rFonts w:hint="eastAsia" w:ascii="仿宋_GB2312" w:hAnsi="仿宋_GB2312" w:eastAsia="仿宋_GB2312" w:cs="仿宋_GB2312"/>
          <w:sz w:val="32"/>
        </w:rPr>
        <w:t>。推动滨海湾新区</w:t>
      </w:r>
      <w:r>
        <w:rPr>
          <w:rFonts w:ascii="仿宋_GB2312" w:hAnsi="仿宋_GB2312" w:eastAsia="仿宋_GB2312" w:cs="仿宋_GB2312"/>
          <w:sz w:val="32"/>
        </w:rPr>
        <w:t>依托国家人工智能应用中试基地，探索联合开展算力、算法、数据等共性支撑能力建设和典型场景示范应用</w:t>
      </w:r>
      <w:r>
        <w:rPr>
          <w:rFonts w:hint="eastAsia" w:ascii="仿宋_GB2312" w:hAnsi="仿宋_GB2312" w:eastAsia="仿宋_GB2312" w:cs="仿宋_GB2312"/>
          <w:sz w:val="32"/>
        </w:rPr>
        <w:t>。支持滨海湾新区申报国家级高新技术产业开发区。</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促进</w:t>
      </w:r>
      <w:r>
        <w:rPr>
          <w:rFonts w:ascii="仿宋_GB2312" w:hAnsi="仿宋_GB2312" w:eastAsia="仿宋_GB2312" w:cs="仿宋_GB2312"/>
          <w:sz w:val="32"/>
        </w:rPr>
        <w:t>东南部镇街融深发展</w:t>
      </w:r>
      <w:r>
        <w:rPr>
          <w:rFonts w:hint="eastAsia" w:ascii="仿宋_GB2312" w:hAnsi="仿宋_GB2312" w:eastAsia="仿宋_GB2312" w:cs="仿宋_GB2312"/>
          <w:sz w:val="32"/>
        </w:rPr>
        <w:t>。</w:t>
      </w:r>
      <w:r>
        <w:rPr>
          <w:rFonts w:ascii="仿宋_GB2312" w:hAnsi="仿宋_GB2312" w:eastAsia="仿宋_GB2312" w:cs="仿宋_GB2312"/>
          <w:sz w:val="32"/>
        </w:rPr>
        <w:t>开展东南部镇街现代化产业体系及融深发展规划研究</w:t>
      </w:r>
      <w:r>
        <w:rPr>
          <w:rFonts w:hint="eastAsia" w:ascii="仿宋_GB2312" w:hAnsi="仿宋_GB2312" w:eastAsia="仿宋_GB2312" w:cs="仿宋_GB2312"/>
          <w:sz w:val="32"/>
        </w:rPr>
        <w:t>，</w:t>
      </w:r>
      <w:r>
        <w:rPr>
          <w:rFonts w:ascii="仿宋_GB2312" w:hAnsi="仿宋_GB2312" w:eastAsia="仿宋_GB2312" w:cs="仿宋_GB2312"/>
          <w:sz w:val="32"/>
        </w:rPr>
        <w:t>探索打造融深“龙凤新片区”，形成“深圳研发+东莞转化”协同模式样本。</w:t>
      </w:r>
      <w:r>
        <w:rPr>
          <w:rFonts w:hint="eastAsia" w:ascii="仿宋_GB2312" w:hAnsi="仿宋_GB2312" w:eastAsia="仿宋_GB2312" w:cs="仿宋_GB2312"/>
          <w:sz w:val="32"/>
        </w:rPr>
        <w:t>加强与深圳产业对接融合，</w:t>
      </w:r>
    </w:p>
    <w:p>
      <w:pPr>
        <w:spacing w:line="580" w:lineRule="exact"/>
        <w:ind w:firstLine="640" w:firstLineChars="200"/>
        <w:rPr>
          <w:rFonts w:ascii="Times New Roman" w:hAnsi="Times New Roman" w:eastAsia="仿宋_GB2312" w:cs="Helvetica"/>
          <w:color w:val="000000"/>
          <w:kern w:val="0"/>
          <w:sz w:val="32"/>
          <w:szCs w:val="27"/>
        </w:rPr>
      </w:pPr>
      <w:r>
        <w:rPr>
          <w:rFonts w:hint="eastAsia" w:ascii="仿宋_GB2312" w:hAnsi="仿宋_GB2312" w:eastAsia="仿宋_GB2312" w:cs="仿宋_GB2312"/>
          <w:sz w:val="32"/>
        </w:rPr>
        <w:t>推动水乡特色发展经济区高质量发展。</w:t>
      </w:r>
      <w:r>
        <w:rPr>
          <w:rFonts w:ascii="仿宋_GB2312" w:hAnsi="仿宋_GB2312" w:eastAsia="仿宋_GB2312" w:cs="仿宋_GB2312"/>
          <w:sz w:val="32"/>
        </w:rPr>
        <w:t>支持</w:t>
      </w:r>
      <w:r>
        <w:rPr>
          <w:rFonts w:hint="eastAsia" w:ascii="仿宋_GB2312" w:hAnsi="仿宋_GB2312" w:eastAsia="仿宋_GB2312" w:cs="仿宋_GB2312"/>
          <w:sz w:val="32"/>
        </w:rPr>
        <w:t>水乡</w:t>
      </w:r>
      <w:r>
        <w:rPr>
          <w:rFonts w:ascii="仿宋_GB2312" w:hAnsi="仿宋_GB2312" w:eastAsia="仿宋_GB2312" w:cs="仿宋_GB2312"/>
          <w:sz w:val="32"/>
        </w:rPr>
        <w:t>莞台高新产业园探索“一园多点”建设专业台资产业园</w:t>
      </w:r>
      <w:r>
        <w:rPr>
          <w:rFonts w:hint="eastAsia" w:ascii="仿宋_GB2312" w:hAnsi="仿宋_GB2312" w:eastAsia="仿宋_GB2312" w:cs="仿宋_GB2312"/>
          <w:sz w:val="32"/>
        </w:rPr>
        <w:t>，争取更多国家政策支持</w:t>
      </w:r>
      <w:r>
        <w:rPr>
          <w:rFonts w:ascii="仿宋_GB2312" w:hAnsi="仿宋_GB2312" w:eastAsia="仿宋_GB2312" w:cs="仿宋_GB2312"/>
          <w:sz w:val="32"/>
        </w:rPr>
        <w:t>。</w:t>
      </w:r>
      <w:r>
        <w:rPr>
          <w:rFonts w:hint="eastAsia" w:ascii="仿宋_GB2312" w:hAnsi="仿宋_GB2312" w:eastAsia="仿宋_GB2312" w:cs="仿宋_GB2312"/>
          <w:sz w:val="32"/>
        </w:rPr>
        <w:t>推动</w:t>
      </w:r>
      <w:r>
        <w:rPr>
          <w:rFonts w:ascii="仿宋_GB2312" w:hAnsi="仿宋_GB2312" w:eastAsia="仿宋_GB2312" w:cs="仿宋_GB2312"/>
          <w:sz w:val="32"/>
        </w:rPr>
        <w:t>水乡</w:t>
      </w:r>
      <w:r>
        <w:rPr>
          <w:rFonts w:hint="eastAsia" w:ascii="仿宋_GB2312" w:hAnsi="仿宋_GB2312" w:eastAsia="仿宋_GB2312" w:cs="仿宋_GB2312"/>
          <w:sz w:val="32"/>
        </w:rPr>
        <w:t>打造低空经济发展高地，发挥临穗优势，引进</w:t>
      </w:r>
      <w:r>
        <w:rPr>
          <w:rFonts w:ascii="仿宋_GB2312" w:hAnsi="仿宋_GB2312" w:eastAsia="仿宋_GB2312" w:cs="仿宋_GB2312"/>
          <w:sz w:val="32"/>
        </w:rPr>
        <w:t>协同广州重点发展整机制造、文旅体验、飞手培训等</w:t>
      </w:r>
      <w:r>
        <w:rPr>
          <w:rFonts w:hint="eastAsia" w:ascii="仿宋_GB2312" w:hAnsi="仿宋_GB2312" w:eastAsia="仿宋_GB2312" w:cs="仿宋_GB2312"/>
          <w:sz w:val="32"/>
        </w:rPr>
        <w:t>低空经济</w:t>
      </w:r>
      <w:r>
        <w:rPr>
          <w:rFonts w:ascii="仿宋_GB2312" w:hAnsi="仿宋_GB2312" w:eastAsia="仿宋_GB2312" w:cs="仿宋_GB2312"/>
          <w:sz w:val="32"/>
        </w:rPr>
        <w:t>产</w:t>
      </w:r>
      <w:r>
        <w:rPr>
          <w:rFonts w:hint="eastAsia" w:ascii="仿宋_GB2312" w:hAnsi="仿宋_GB2312" w:eastAsia="仿宋_GB2312" w:cs="仿宋_GB2312"/>
          <w:sz w:val="32"/>
        </w:rPr>
        <w:t>业。</w:t>
      </w:r>
    </w:p>
    <w:p>
      <w:pPr>
        <w:spacing w:line="580" w:lineRule="exact"/>
        <w:ind w:firstLine="640" w:firstLineChars="200"/>
        <w:rPr>
          <w:rFonts w:ascii="Times New Roman" w:hAnsi="Times New Roman" w:eastAsia="仿宋_GB2312" w:cs="Helvetica"/>
          <w:color w:val="000000"/>
          <w:kern w:val="0"/>
          <w:sz w:val="32"/>
          <w:szCs w:val="27"/>
        </w:rPr>
        <w:sectPr>
          <w:pgSz w:w="11906" w:h="16838"/>
          <w:pgMar w:top="1440" w:right="1800" w:bottom="1440" w:left="1800" w:header="851" w:footer="992" w:gutter="0"/>
          <w:cols w:space="425" w:num="1"/>
          <w:docGrid w:type="lines" w:linePitch="312" w:charSpace="0"/>
        </w:sectPr>
      </w:pPr>
    </w:p>
    <w:p>
      <w:pPr>
        <w:spacing w:line="580" w:lineRule="exact"/>
        <w:ind w:firstLine="640" w:firstLineChars="200"/>
        <w:outlineLvl w:val="0"/>
        <w:rPr>
          <w:rFonts w:ascii="黑体" w:hAnsi="黑体" w:eastAsia="黑体"/>
          <w:sz w:val="32"/>
          <w:szCs w:val="32"/>
          <w:u w:val="none"/>
        </w:rPr>
      </w:pPr>
      <w:bookmarkStart w:id="18" w:name="_Toc219454874"/>
      <w:r>
        <w:rPr>
          <w:rFonts w:hint="eastAsia" w:ascii="黑体" w:hAnsi="黑体" w:eastAsia="黑体"/>
          <w:sz w:val="32"/>
          <w:szCs w:val="32"/>
          <w:u w:val="none"/>
        </w:rPr>
        <w:t>第四章</w:t>
      </w:r>
      <w:r>
        <w:rPr>
          <w:rFonts w:ascii="黑体" w:hAnsi="黑体" w:eastAsia="黑体"/>
          <w:sz w:val="32"/>
          <w:szCs w:val="32"/>
          <w:u w:val="none"/>
        </w:rPr>
        <w:t xml:space="preserve"> </w:t>
      </w:r>
      <w:r>
        <w:rPr>
          <w:rFonts w:hint="eastAsia" w:ascii="黑体" w:hAnsi="黑体" w:eastAsia="黑体"/>
          <w:sz w:val="32"/>
          <w:szCs w:val="32"/>
          <w:u w:val="none"/>
        </w:rPr>
        <w:t>推进教育科技人才一体化发展</w:t>
      </w:r>
      <w:bookmarkEnd w:id="18"/>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cs="Helvetica"/>
          <w:color w:val="000000"/>
          <w:kern w:val="0"/>
          <w:sz w:val="32"/>
          <w:szCs w:val="27"/>
        </w:rPr>
        <w:t>建立健全教育、科技、人才一体推进的协调机制，强化规划衔接、政策协同、资源统筹、评价联动，促进科技创新和人才培养良性互动。</w:t>
      </w:r>
    </w:p>
    <w:p>
      <w:pPr>
        <w:spacing w:line="580" w:lineRule="exact"/>
        <w:ind w:firstLine="640" w:firstLineChars="200"/>
        <w:outlineLvl w:val="1"/>
        <w:rPr>
          <w:rFonts w:ascii="楷体_GB2312" w:hAnsi="Times New Roman" w:eastAsia="楷体_GB2312"/>
          <w:sz w:val="32"/>
        </w:rPr>
      </w:pPr>
      <w:bookmarkStart w:id="19" w:name="_Toc219454875"/>
      <w:r>
        <w:rPr>
          <w:rFonts w:hint="eastAsia" w:ascii="楷体_GB2312" w:hAnsi="Times New Roman" w:eastAsia="楷体_GB2312"/>
          <w:sz w:val="32"/>
        </w:rPr>
        <w:t>第一节</w:t>
      </w:r>
      <w:r>
        <w:rPr>
          <w:rFonts w:ascii="楷体_GB2312" w:hAnsi="Times New Roman" w:eastAsia="楷体_GB2312"/>
          <w:sz w:val="32"/>
        </w:rPr>
        <w:t xml:space="preserve"> </w:t>
      </w:r>
      <w:r>
        <w:rPr>
          <w:rFonts w:hint="eastAsia" w:ascii="楷体_GB2312" w:hAnsi="Times New Roman" w:eastAsia="楷体_GB2312"/>
          <w:sz w:val="32"/>
        </w:rPr>
        <w:t>推动高等教育跨越式发展</w:t>
      </w:r>
      <w:bookmarkEnd w:id="19"/>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b w:val="0"/>
          <w:bCs/>
          <w:sz w:val="32"/>
        </w:rPr>
        <w:t>推动大湾区大学加快跻身一流院校队伍。</w:t>
      </w:r>
      <w:r>
        <w:rPr>
          <w:rFonts w:hint="eastAsia" w:ascii="Times New Roman" w:hAnsi="Times New Roman" w:eastAsia="仿宋_GB2312"/>
          <w:sz w:val="32"/>
        </w:rPr>
        <w:t>坚持以“高起点谋划、高格局定位、高标准建设”的要求推动大湾区大学建成一所国际水准、开放包容、湾区特色的新型研究型大学。以基础学科为根基、以交叉融合为路径、以产业需求为导向，聚焦数理交叉前沿、物质材料科学、新一代信息技术、先进工程、人工智能等相关领域，持续强化“大学+大科学装置+产业”的科教产融合机制，为粤港澳大湾区国际科技创新中心建设和东莞高质量发展贡献高水平科技支撑与人才保障。</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b w:val="0"/>
          <w:bCs/>
          <w:sz w:val="32"/>
        </w:rPr>
        <w:t>支持香港城市大学（东莞）打造粤港教育融合新标杆。</w:t>
      </w:r>
      <w:r>
        <w:rPr>
          <w:rFonts w:hint="eastAsia" w:ascii="Times New Roman" w:hAnsi="Times New Roman" w:eastAsia="仿宋_GB2312"/>
          <w:sz w:val="32"/>
        </w:rPr>
        <w:t>以学生培养与人才流动为核心，构建粤港教育融合生态，为大湾区高质量发展培养一大批“既懂国际又懂本地产业”的复合型创新人才。积极参与粤港高校“1+1+1”联合资助计划，聚焦产学研一体化与成果转化，建设香港城市大学（东莞）科技创新中心，推进HK</w:t>
      </w:r>
      <w:r>
        <w:rPr>
          <w:rFonts w:ascii="Times New Roman" w:hAnsi="Times New Roman" w:eastAsia="仿宋_GB2312"/>
          <w:sz w:val="32"/>
        </w:rPr>
        <w:t xml:space="preserve"> Tech </w:t>
      </w:r>
      <w:r>
        <w:rPr>
          <w:rFonts w:hint="eastAsia" w:ascii="Times New Roman" w:hAnsi="Times New Roman" w:eastAsia="仿宋_GB2312"/>
          <w:sz w:val="32"/>
        </w:rPr>
        <w:t>300计划与东莞产业体系深度对接融合。</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b w:val="0"/>
          <w:bCs/>
          <w:sz w:val="32"/>
        </w:rPr>
        <w:t>支持东莞理工学院建设高水平应用研究型大学</w:t>
      </w:r>
      <w:r>
        <w:rPr>
          <w:rFonts w:hint="eastAsia" w:ascii="Times New Roman" w:hAnsi="Times New Roman" w:eastAsia="仿宋_GB2312"/>
          <w:sz w:val="32"/>
        </w:rPr>
        <w:t>。省、市联动共同支持东莞理工学院建设高水平应用研究型大学，聚焦“扎根湾区、面向产业”的发展定位，深化科产教融合，探索应用型人才培养新机制、新模式，培养更多服务区域产业的卓越工程科技人才，更好支撑区域经济产业发展，努力建成国内一流、特色鲜明的高水平应用研究型大学。聚焦国家重大战略、区域性重大问题、地方行业发展重大需求，强化由战略科学家和领军人才领衔的大团队建设，推进以支持突破关键核心技术为目标的有组织科研攻关，积极开展“大团队+多学科”协同攻关和交叉研究。推进“环东莞理工学院产业科技创新带”建设，引导技术转移中心、企业研发机构、概念验证中心、中试基地等科技创新资源集聚发展，打造科技成果转化新高地。加快推进东莞理工学院申请博士学位点与大学更名。</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提升广东医科大学东莞校区办学水平。推动广东省教育厅、东莞市人民政府、松山湖高新区管委会、广东医科大学四方共建广东医科大学东莞校区，加快提升办学水平，增强服务东莞能力。在莞布局和建设新医科、新工科学科专业，扩大在莞研究生教育规模，建设面向生物医药和大健康领域的现代产业学院，培养一大批高水平应用型人才。</w:t>
      </w:r>
    </w:p>
    <w:p>
      <w:pPr>
        <w:spacing w:line="580" w:lineRule="exact"/>
        <w:ind w:firstLine="640" w:firstLineChars="200"/>
        <w:outlineLvl w:val="1"/>
        <w:rPr>
          <w:rFonts w:ascii="楷体_GB2312" w:hAnsi="Times New Roman" w:eastAsia="楷体_GB2312"/>
          <w:sz w:val="32"/>
        </w:rPr>
      </w:pPr>
      <w:bookmarkStart w:id="20" w:name="_Toc219454876"/>
      <w:r>
        <w:rPr>
          <w:rFonts w:hint="eastAsia" w:ascii="楷体_GB2312" w:hAnsi="Times New Roman" w:eastAsia="楷体_GB2312"/>
          <w:sz w:val="32"/>
        </w:rPr>
        <w:t>第二节</w:t>
      </w:r>
      <w:r>
        <w:rPr>
          <w:rFonts w:ascii="楷体_GB2312" w:hAnsi="Times New Roman" w:eastAsia="楷体_GB2312"/>
          <w:sz w:val="32"/>
        </w:rPr>
        <w:t xml:space="preserve"> </w:t>
      </w:r>
      <w:r>
        <w:rPr>
          <w:rFonts w:hint="eastAsia" w:ascii="楷体_GB2312" w:hAnsi="Times New Roman" w:eastAsia="楷体_GB2312"/>
          <w:sz w:val="32"/>
        </w:rPr>
        <w:t>完善科教协同育人机制</w:t>
      </w:r>
      <w:bookmarkEnd w:id="20"/>
    </w:p>
    <w:p>
      <w:pPr>
        <w:spacing w:line="580" w:lineRule="exact"/>
        <w:ind w:firstLine="640" w:firstLineChars="200"/>
        <w:rPr>
          <w:rFonts w:ascii="Times New Roman" w:hAnsi="Times New Roman" w:eastAsia="仿宋_GB2312" w:cs="Helvetica"/>
          <w:color w:val="000000"/>
          <w:kern w:val="0"/>
          <w:sz w:val="32"/>
          <w:szCs w:val="27"/>
        </w:rPr>
      </w:pPr>
      <w:r>
        <w:rPr>
          <w:rFonts w:hint="eastAsia" w:ascii="Times New Roman" w:hAnsi="Times New Roman" w:eastAsia="仿宋_GB2312" w:cs="Helvetica"/>
          <w:color w:val="000000"/>
          <w:kern w:val="0"/>
          <w:sz w:val="32"/>
          <w:szCs w:val="27"/>
        </w:rPr>
        <w:t>紧紧围绕科技创新、产业发展和国家战略需求协同育人。建立健全科技发展、国家战略需求牵引的学科设置调整机制和人才培养模式，加强师资队伍、教材体系、课程体系和培养方案建设，聚焦基础科学前沿、重点领域关键核心技术攻关、新兴产业和未来产业发展需求，推进国家交叉学科中心建设，加强基础学科、新兴学科、交叉学科建设和急需紧缺创新人才培养。深入推进“双一流”高校建设和高校分类改革，优化高等教育领域区域布局。强化科研机构、创新平台、企业、科技计划人才集聚培养功能，通过科教融合、产教融合等方式，将教育教学过程深度融入重大科技任务组织实施全过程和产业创新全流程，探索拔尖创新人才自主培养新模式、新路径。积极推进人工智能驱动教育模式变革，探索数字赋能大规模因材施教、创新性教学的有效途径。</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cs="Helvetica"/>
          <w:color w:val="000000"/>
          <w:kern w:val="0"/>
          <w:sz w:val="32"/>
          <w:szCs w:val="27"/>
        </w:rPr>
        <w:t>推进人才自主培养新模式，高标准建设粤港澳大湾区（东莞）新一代信息技术国家卓越工程师创新研究院，承接国家、省工程硕博士培养专项改革落地，聚焦本地产业发展人才需求，落实联合培养、一线实践、项目依托、成果导向的培养模式，以产业真实项目、真实课题为依托，联合培养能解决复杂工程技术问题、推动产业科技创新的卓越工程人才。支持松山湖国际机器人产业基地牵头省内高校以创新创业人才培养为导向推进“新工科”教育，在学生培养、师资配置、师生评价、资源投入、校地协同等方面创新体制机制，构建“科-教-产-融-创”一体化的创新创业人才培养新模式。积极争取承担广东省</w:t>
      </w:r>
      <w:r>
        <w:rPr>
          <w:rFonts w:hint="eastAsia" w:ascii="Times New Roman" w:hAnsi="Times New Roman" w:eastAsia="仿宋_GB2312"/>
          <w:sz w:val="32"/>
        </w:rPr>
        <w:t>教育科技人才“三位一体”重点实践场景建设，探索在企业科技创新一线培养人才的新模式。</w:t>
      </w:r>
    </w:p>
    <w:p>
      <w:pPr>
        <w:spacing w:line="580" w:lineRule="exact"/>
        <w:ind w:firstLine="640" w:firstLineChars="200"/>
        <w:rPr>
          <w:rFonts w:ascii="Times New Roman" w:hAnsi="Times New Roman" w:eastAsia="仿宋_GB2312"/>
          <w:sz w:val="32"/>
        </w:rPr>
      </w:pPr>
      <w:bookmarkStart w:id="36" w:name="_GoBack"/>
      <w:bookmarkEnd w:id="36"/>
      <w:r>
        <w:rPr>
          <w:rFonts w:hint="eastAsia" w:ascii="Times New Roman" w:hAnsi="Times New Roman" w:eastAsia="仿宋_GB2312" w:cs="Helvetica"/>
          <w:color w:val="000000"/>
          <w:kern w:val="0"/>
          <w:sz w:val="32"/>
          <w:szCs w:val="27"/>
        </w:rPr>
        <w:t>强化科研机构、创新平台、企业、科技计划人才集聚培养功能，培育拔尖创新人才。</w:t>
      </w:r>
      <w:r>
        <w:rPr>
          <w:rFonts w:hint="eastAsia" w:ascii="Times New Roman" w:hAnsi="Times New Roman" w:eastAsia="仿宋_GB2312"/>
          <w:sz w:val="32"/>
        </w:rPr>
        <w:t>发挥有组织科研优势，在重大科技任务和重大创新平台的有力支撑下，推动科技攻关过程、科研组织方式与育人环节、育人模式有机融合，培养造就更多创新人才。支持企业在高校、科研机构设立由企业主导的联合研发中心，实现“企业+高校”二合一运行，推动企业出资出题、共同答题，人员共用、平台共享、学生共育。支持高校与行业领军企业合作建设研究生联合培养基地，培育一批掌握硬科技的高素质复合型人才。</w:t>
      </w:r>
    </w:p>
    <w:p>
      <w:pPr>
        <w:spacing w:line="580" w:lineRule="exact"/>
        <w:ind w:firstLine="640" w:firstLineChars="200"/>
        <w:outlineLvl w:val="1"/>
        <w:rPr>
          <w:rFonts w:ascii="楷体_GB2312" w:hAnsi="Times New Roman" w:eastAsia="楷体_GB2312"/>
          <w:sz w:val="32"/>
        </w:rPr>
      </w:pPr>
      <w:bookmarkStart w:id="21" w:name="_Toc219454877"/>
      <w:r>
        <w:rPr>
          <w:rFonts w:hint="eastAsia" w:ascii="楷体_GB2312" w:hAnsi="Times New Roman" w:eastAsia="楷体_GB2312"/>
          <w:sz w:val="32"/>
        </w:rPr>
        <w:t>第三节 建设高水平科技人才队伍</w:t>
      </w:r>
      <w:bookmarkEnd w:id="21"/>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强化面向产业真实需求的科技人才布局，大力培养与引进一批在具有突出工程化落地能力的科技领军人才，构建以战略科学家、领军人才与科研团队、青年科技人才、卓越工程师、大国工匠等为主的具有鲜明工程师特色的高水平科技人才队伍。实施战略科学家全权负责制，建立战略科学家参与重大科技项目论证咨询机制。拓展海外引才渠道，完善海外引才的支持保障机制，加强海外高层次人才引进。争取开展高技术人才移民制度创新试点，完善海外引进人才支持保障机制，构建具有国际竞争力的人才制度体系。</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探索建立基于重大科研项目的青年科技人才发现与选拔机制，健全关键核心技术领域后备人才发现与团队遴选机制。优化完善面向青年科技人才的阶梯式科研项目资助体系，提高青年人才承担重大科技任务，担任重大平台基地、重点攻关课题负责人和骨干的比例。前瞻性支持青年科技人才开展基础研究，加大粤莞联合基金与市基础研究与应用基础研究基金项目资助力度。深入实施“百万英才汇南粤行动计划”，健全完善青年科技人才科教产协同培育机制，鼓励支持青年科技人才依托各类基地、平台、赛事开展创新创业。优化青年科技人才职称评聘和奖励激励机制，更好保障青年科技人才待遇。支持女性科技人才参与承担科技项目。</w:t>
      </w:r>
    </w:p>
    <w:p>
      <w:pPr>
        <w:spacing w:line="580" w:lineRule="exact"/>
        <w:ind w:firstLine="640" w:firstLineChars="200"/>
        <w:outlineLvl w:val="1"/>
        <w:rPr>
          <w:rFonts w:ascii="楷体_GB2312" w:hAnsi="Times New Roman" w:eastAsia="楷体_GB2312"/>
          <w:sz w:val="32"/>
          <w:u w:val="none"/>
        </w:rPr>
      </w:pPr>
      <w:bookmarkStart w:id="22" w:name="_Toc219454878"/>
      <w:r>
        <w:rPr>
          <w:rFonts w:hint="eastAsia" w:ascii="楷体_GB2312" w:hAnsi="Times New Roman" w:eastAsia="楷体_GB2312"/>
          <w:sz w:val="32"/>
          <w:u w:val="none"/>
        </w:rPr>
        <w:t>第四节</w:t>
      </w:r>
      <w:r>
        <w:rPr>
          <w:rFonts w:ascii="楷体_GB2312" w:hAnsi="Times New Roman" w:eastAsia="楷体_GB2312"/>
          <w:sz w:val="32"/>
          <w:u w:val="none"/>
        </w:rPr>
        <w:t xml:space="preserve"> </w:t>
      </w:r>
      <w:r>
        <w:rPr>
          <w:rFonts w:hint="eastAsia" w:ascii="楷体_GB2312" w:hAnsi="Times New Roman" w:eastAsia="楷体_GB2312"/>
          <w:sz w:val="32"/>
          <w:u w:val="none"/>
        </w:rPr>
        <w:t>深化人才评价改革</w:t>
      </w:r>
      <w:bookmarkEnd w:id="22"/>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cs="Times New Roman"/>
          <w:sz w:val="32"/>
          <w:szCs w:val="32"/>
        </w:rPr>
        <w:t>完善人才评价激励机制。</w:t>
      </w:r>
      <w:r>
        <w:rPr>
          <w:rFonts w:hint="eastAsia" w:ascii="Times New Roman" w:hAnsi="Times New Roman" w:eastAsia="仿宋_GB2312"/>
          <w:sz w:val="32"/>
        </w:rPr>
        <w:t>坚持“破四唯”和“立新标”并举，健全以创新能力、质量、实效、贡献为导向的人才评价体系，赋予科研机构和企业更大的人才评估自主决定权。推进科技人才分类评价改革，建立以需求为牵引、以能够解决问题为评价标准的新机制，构建精准化、多元化、差异化的人才评价机制，持续完善以创新能力、质量、实效、贡献为导向的人才评价体系。加强科研人才的科研经费补助支持，优化完善科技人才科研活动长期稳定支持机制，深入推进减轻科研人员负担、“负面清单+包干制”、自主举荐、高层次人才专家荐才等改革，完善军民科技人才评价政策。</w:t>
      </w:r>
    </w:p>
    <w:p>
      <w:pPr>
        <w:spacing w:line="580" w:lineRule="exact"/>
        <w:ind w:firstLine="640" w:firstLineChars="200"/>
        <w:outlineLvl w:val="1"/>
        <w:rPr>
          <w:rFonts w:ascii="楷体_GB2312" w:hAnsi="Times New Roman" w:eastAsia="楷体_GB2312"/>
          <w:sz w:val="32"/>
          <w:u w:val="none"/>
        </w:rPr>
      </w:pPr>
      <w:bookmarkStart w:id="23" w:name="_Toc219454879"/>
      <w:r>
        <w:rPr>
          <w:rFonts w:hint="eastAsia" w:ascii="楷体_GB2312" w:hAnsi="Times New Roman" w:eastAsia="楷体_GB2312"/>
          <w:sz w:val="32"/>
          <w:u w:val="none"/>
        </w:rPr>
        <w:t>第五节</w:t>
      </w:r>
      <w:r>
        <w:rPr>
          <w:rFonts w:ascii="楷体_GB2312" w:hAnsi="Times New Roman" w:eastAsia="楷体_GB2312"/>
          <w:sz w:val="32"/>
          <w:u w:val="none"/>
        </w:rPr>
        <w:t xml:space="preserve"> </w:t>
      </w:r>
      <w:r>
        <w:rPr>
          <w:rFonts w:hint="eastAsia" w:ascii="楷体_GB2312" w:hAnsi="Times New Roman" w:eastAsia="楷体_GB2312"/>
          <w:sz w:val="32"/>
          <w:u w:val="none"/>
        </w:rPr>
        <w:t>提升创新人才服务水平</w:t>
      </w:r>
      <w:bookmarkEnd w:id="23"/>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cs="Times New Roman"/>
          <w:sz w:val="32"/>
          <w:szCs w:val="32"/>
        </w:rPr>
        <w:t>加强外国人才服务管理。</w:t>
      </w:r>
      <w:r>
        <w:rPr>
          <w:rFonts w:hint="eastAsia" w:ascii="Times New Roman" w:hAnsi="Times New Roman" w:eastAsia="仿宋_GB2312"/>
          <w:sz w:val="32"/>
        </w:rPr>
        <w:t>落实国家外国人来华工作许可制度，推动落地外籍“高精尖缺”人才市认定标准，开展外籍和港澳台高层次人才认定工作，探索开展外籍创新人才创办科技型企业享受国民待遇试点。落实人才签证制度，推动青年科技人才签证制度加速落地。深入推进外国人才服务保障综合配套改革试点，在外国人才引进、使用、公共服务和社会融入等方面开展改革创新试点，优化外国人才工作生活环境。培育高层次人才市场化服务机构，通过市场化引才方式和信息化手段，帮助用人单位精准引才。</w:t>
      </w:r>
    </w:p>
    <w:p>
      <w:pPr>
        <w:spacing w:line="580" w:lineRule="exact"/>
        <w:ind w:firstLine="640" w:firstLineChars="200"/>
        <w:rPr>
          <w:rFonts w:ascii="Times New Roman" w:hAnsi="Times New Roman" w:eastAsia="仿宋_GB2312"/>
          <w:sz w:val="32"/>
        </w:rPr>
      </w:pPr>
    </w:p>
    <w:p>
      <w:pPr>
        <w:spacing w:line="580" w:lineRule="exact"/>
        <w:ind w:firstLine="640" w:firstLineChars="200"/>
        <w:rPr>
          <w:rFonts w:ascii="Times New Roman" w:hAnsi="Times New Roman" w:eastAsia="仿宋_GB2312"/>
          <w:sz w:val="32"/>
        </w:rPr>
        <w:sectPr>
          <w:pgSz w:w="11906" w:h="16838"/>
          <w:pgMar w:top="1440" w:right="1800" w:bottom="1440" w:left="1800" w:header="851" w:footer="992" w:gutter="0"/>
          <w:cols w:space="425" w:num="1"/>
          <w:docGrid w:type="lines" w:linePitch="312" w:charSpace="0"/>
        </w:sectPr>
      </w:pPr>
    </w:p>
    <w:p>
      <w:pPr>
        <w:spacing w:line="580" w:lineRule="exact"/>
        <w:ind w:firstLine="640" w:firstLineChars="200"/>
        <w:outlineLvl w:val="0"/>
        <w:rPr>
          <w:rFonts w:ascii="黑体" w:hAnsi="黑体" w:eastAsia="黑体"/>
          <w:sz w:val="32"/>
          <w:szCs w:val="32"/>
        </w:rPr>
      </w:pPr>
      <w:bookmarkStart w:id="24" w:name="_Toc219454880"/>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营造一流的开放创新生态</w:t>
      </w:r>
      <w:bookmarkEnd w:id="24"/>
    </w:p>
    <w:p>
      <w:pPr>
        <w:spacing w:line="580" w:lineRule="exact"/>
        <w:ind w:firstLine="640" w:firstLineChars="200"/>
        <w:outlineLvl w:val="1"/>
        <w:rPr>
          <w:rFonts w:ascii="楷体_GB2312" w:hAnsi="Times New Roman" w:eastAsia="楷体_GB2312"/>
          <w:sz w:val="32"/>
          <w:szCs w:val="32"/>
        </w:rPr>
      </w:pPr>
      <w:bookmarkStart w:id="25" w:name="_Toc219454881"/>
      <w:r>
        <w:rPr>
          <w:rFonts w:hint="eastAsia" w:ascii="楷体_GB2312" w:hAnsi="Times New Roman" w:eastAsia="楷体_GB2312"/>
          <w:sz w:val="32"/>
          <w:szCs w:val="32"/>
        </w:rPr>
        <w:t>第一节</w:t>
      </w:r>
      <w:r>
        <w:rPr>
          <w:rFonts w:ascii="楷体_GB2312" w:hAnsi="Times New Roman" w:eastAsia="楷体_GB2312"/>
          <w:sz w:val="32"/>
          <w:szCs w:val="32"/>
        </w:rPr>
        <w:t xml:space="preserve"> </w:t>
      </w:r>
      <w:r>
        <w:rPr>
          <w:rFonts w:hint="eastAsia" w:ascii="楷体_GB2312" w:hAnsi="Times New Roman" w:eastAsia="楷体_GB2312"/>
          <w:sz w:val="32"/>
          <w:szCs w:val="32"/>
        </w:rPr>
        <w:t>加强湾区城市群间科技协同联动</w:t>
      </w:r>
      <w:bookmarkEnd w:id="25"/>
    </w:p>
    <w:p>
      <w:pPr>
        <w:spacing w:line="580" w:lineRule="exact"/>
        <w:ind w:firstLine="640" w:firstLineChars="200"/>
        <w:rPr>
          <w:rFonts w:ascii="Times New Roman" w:hAnsi="Times New Roman" w:eastAsia="仿宋_GB2312"/>
          <w:sz w:val="32"/>
          <w:u w:val="none"/>
        </w:rPr>
      </w:pPr>
      <w:r>
        <w:rPr>
          <w:rFonts w:hint="eastAsia" w:ascii="Times New Roman" w:hAnsi="Times New Roman" w:eastAsia="仿宋_GB2312"/>
          <w:sz w:val="32"/>
          <w:u w:val="none"/>
        </w:rPr>
        <w:t>积极融入粤港澳大湾区建设，深度参与深圳都市圈规划建设，以松山湖科学城为核心，加强与深圳光明科学城、南沙科学城的协同联动，促进人才密切交流联结、科研资源充分衔接，携手加快建设大湾区综合性国家科学中心先行启动区。积极推动莞深两地在大科学装置共建共享、开放课题申报、联合实验室（联合研究中心）建设等方面探索实施路径。</w:t>
      </w:r>
      <w:r>
        <w:rPr>
          <w:rFonts w:hint="eastAsia" w:ascii="Times New Roman" w:hAnsi="Times New Roman" w:eastAsia="仿宋_GB2312"/>
          <w:sz w:val="32"/>
        </w:rPr>
        <w:t>发挥深圳-东莞巍峨山“We-Science”创新联盟联动发展机制作用，率先推进松山湖科学城与光明科学城在科研、教育、成果转化、基础设施与生活保障等方面高效互联与共享使用。</w:t>
      </w:r>
      <w:r>
        <w:rPr>
          <w:rFonts w:hint="eastAsia" w:ascii="Times New Roman" w:hAnsi="Times New Roman" w:eastAsia="仿宋_GB2312"/>
          <w:sz w:val="32"/>
          <w:u w:val="none"/>
        </w:rPr>
        <w:t>加强与前海深港现代服务业合作区、横琴粤澳深度合作区、河套深港科技创新合作区、南沙自贸区等粤港澳大湾区重大合作平台的制度对接、工作衔接</w:t>
      </w:r>
      <w:r>
        <w:rPr>
          <w:rFonts w:hint="eastAsia" w:ascii="Times New Roman" w:hAnsi="Times New Roman" w:eastAsia="仿宋_GB2312"/>
          <w:sz w:val="32"/>
        </w:rPr>
        <w:t>。</w:t>
      </w:r>
    </w:p>
    <w:p>
      <w:pPr>
        <w:spacing w:line="580" w:lineRule="exact"/>
        <w:ind w:firstLine="640" w:firstLineChars="200"/>
        <w:outlineLvl w:val="1"/>
        <w:rPr>
          <w:rFonts w:ascii="楷体_GB2312" w:hAnsi="Times New Roman" w:eastAsia="楷体_GB2312"/>
          <w:sz w:val="32"/>
          <w:szCs w:val="32"/>
        </w:rPr>
      </w:pPr>
      <w:bookmarkStart w:id="26" w:name="_Toc219454882"/>
      <w:r>
        <w:rPr>
          <w:rFonts w:hint="eastAsia" w:ascii="楷体_GB2312" w:hAnsi="Times New Roman" w:eastAsia="楷体_GB2312"/>
          <w:sz w:val="32"/>
          <w:szCs w:val="32"/>
        </w:rPr>
        <w:t>第二节</w:t>
      </w:r>
      <w:r>
        <w:rPr>
          <w:rFonts w:ascii="楷体_GB2312" w:hAnsi="Times New Roman" w:eastAsia="楷体_GB2312"/>
          <w:sz w:val="32"/>
          <w:szCs w:val="32"/>
        </w:rPr>
        <w:t xml:space="preserve"> </w:t>
      </w:r>
      <w:r>
        <w:rPr>
          <w:rFonts w:hint="eastAsia" w:ascii="楷体_GB2312" w:hAnsi="Times New Roman" w:eastAsia="楷体_GB2312"/>
          <w:sz w:val="32"/>
          <w:szCs w:val="32"/>
        </w:rPr>
        <w:t>深化与港澳台科技交流与合作</w:t>
      </w:r>
      <w:bookmarkEnd w:id="26"/>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强化莞港创新要素与产业协作。对接香港高校、科研院所顶尖人才团队与先进科技成果，推动其在莞高效转化落地，探索构建“全球市场+香港研发+东莞转化”的协同创新新机制。推动莞港联合在滨海湾新区建设国际一流的莞港科技园，高度衔接香港及国际的科研制度环境，促进园内创新资源要素自由有序跨境流动，成为全国跨区域科技合作的标杆园区。</w:t>
      </w:r>
      <w:r>
        <w:rPr>
          <w:rFonts w:hint="eastAsia" w:ascii="Times New Roman" w:hAnsi="Times New Roman" w:eastAsia="仿宋_GB2312"/>
          <w:sz w:val="32"/>
          <w:u w:val="none"/>
        </w:rPr>
        <w:t>建好</w:t>
      </w:r>
      <w:r>
        <w:rPr>
          <w:rFonts w:hint="eastAsia" w:ascii="Times New Roman" w:hAnsi="Times New Roman" w:eastAsia="仿宋_GB2312"/>
          <w:sz w:val="32"/>
        </w:rPr>
        <w:t>香港伟业创新中心、</w:t>
      </w:r>
      <w:r>
        <w:rPr>
          <w:rFonts w:hint="eastAsia" w:ascii="Times New Roman" w:hAnsi="Times New Roman" w:eastAsia="仿宋_GB2312"/>
          <w:sz w:val="32"/>
          <w:u w:val="none"/>
        </w:rPr>
        <w:t>莞深（河套）创新中心等</w:t>
      </w:r>
      <w:r>
        <w:rPr>
          <w:rFonts w:hint="eastAsia" w:ascii="Times New Roman" w:hAnsi="Times New Roman" w:eastAsia="仿宋_GB2312"/>
          <w:sz w:val="32"/>
        </w:rPr>
        <w:t>海外</w:t>
      </w:r>
      <w:r>
        <w:rPr>
          <w:rFonts w:hint="eastAsia" w:ascii="Times New Roman" w:hAnsi="Times New Roman" w:eastAsia="仿宋_GB2312"/>
          <w:sz w:val="32"/>
          <w:u w:val="none"/>
        </w:rPr>
        <w:t>科</w:t>
      </w:r>
      <w:r>
        <w:rPr>
          <w:rFonts w:hint="eastAsia" w:ascii="Times New Roman" w:hAnsi="Times New Roman" w:eastAsia="仿宋_GB2312"/>
          <w:sz w:val="32"/>
        </w:rPr>
        <w:t>创</w:t>
      </w:r>
      <w:r>
        <w:rPr>
          <w:rFonts w:hint="eastAsia" w:ascii="Times New Roman" w:hAnsi="Times New Roman" w:eastAsia="仿宋_GB2312"/>
          <w:sz w:val="32"/>
          <w:u w:val="none"/>
        </w:rPr>
        <w:t>飞地</w:t>
      </w:r>
      <w:r>
        <w:rPr>
          <w:rFonts w:hint="eastAsia" w:ascii="Times New Roman" w:hAnsi="Times New Roman" w:eastAsia="仿宋_GB2312"/>
          <w:sz w:val="32"/>
        </w:rPr>
        <w:t>。</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none"/>
        </w:rPr>
        <w:t>加强与澳门科技交流与合作，重点围绕中医药相关领域加强合作，在科技成果转化、科技服务业发展方面探索更大合作空间。</w:t>
      </w:r>
    </w:p>
    <w:p>
      <w:pPr>
        <w:spacing w:line="580" w:lineRule="exact"/>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落实国家关于东莞深化两岸创新发展合作总体方案的要求，推动市内各大科技创新平台向台胞台企业开放共享，支持东莞理工学院粤台产业科技学院建设，拓展与台湾高校交流互访和人才培养，打造两岸科技交流与合作基地。</w:t>
      </w:r>
    </w:p>
    <w:p>
      <w:pPr>
        <w:spacing w:line="580" w:lineRule="exact"/>
        <w:ind w:firstLine="640" w:firstLineChars="200"/>
        <w:outlineLvl w:val="1"/>
        <w:rPr>
          <w:rFonts w:ascii="楷体_GB2312" w:hAnsi="Times New Roman" w:eastAsia="楷体_GB2312"/>
          <w:sz w:val="32"/>
          <w:szCs w:val="32"/>
        </w:rPr>
      </w:pPr>
      <w:bookmarkStart w:id="27" w:name="_Toc219454883"/>
      <w:r>
        <w:rPr>
          <w:rFonts w:hint="eastAsia" w:ascii="楷体_GB2312" w:hAnsi="Times New Roman" w:eastAsia="楷体_GB2312"/>
          <w:sz w:val="32"/>
          <w:szCs w:val="32"/>
        </w:rPr>
        <w:t>第三节</w:t>
      </w:r>
      <w:r>
        <w:rPr>
          <w:rFonts w:ascii="楷体_GB2312" w:hAnsi="Times New Roman" w:eastAsia="楷体_GB2312"/>
          <w:sz w:val="32"/>
          <w:szCs w:val="32"/>
        </w:rPr>
        <w:t xml:space="preserve"> </w:t>
      </w:r>
      <w:r>
        <w:rPr>
          <w:rFonts w:hint="eastAsia" w:ascii="楷体_GB2312" w:hAnsi="Times New Roman" w:eastAsia="楷体_GB2312"/>
          <w:sz w:val="32"/>
          <w:szCs w:val="32"/>
        </w:rPr>
        <w:t>推进打造面向国际的开放创新生态</w:t>
      </w:r>
      <w:bookmarkEnd w:id="27"/>
    </w:p>
    <w:p>
      <w:pPr>
        <w:autoSpaceDE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持续推进“中国—拉美和加勒比国家技术转移中心”国家平台建设，积极实施新时期“中拉科技伙伴计划”，推进中拉“研究、规划、技术、人才、平台”五位一体的科技合作。积极承接国家部署的中拉技术合作项目及国别研究任务，服务国家战略，深度拓展我市与拉美和加勒比国家在人才交流、科技协同创新与经贸合作的多维通道。加强与南亚、东南亚等地区的科技交流合作，布局建设海外创新基地等合作平台，举办相关服务活动。推动有条件的创新载体建设“一带一路”联合实验室。</w:t>
      </w:r>
    </w:p>
    <w:p>
      <w:pPr>
        <w:autoSpaceDE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依托大科学装置参与国际大科学计划。充分发挥松山湖科学城大科学装置集群的优势，积极争取牵头或深度参与国际材料领域等前沿方向的大科学计划与大科学工程。</w:t>
      </w:r>
    </w:p>
    <w:p>
      <w:pPr>
        <w:spacing w:line="580" w:lineRule="exact"/>
        <w:ind w:firstLine="640" w:firstLineChars="200"/>
        <w:outlineLvl w:val="0"/>
        <w:rPr>
          <w:rFonts w:ascii="黑体" w:hAnsi="黑体" w:eastAsia="黑体"/>
          <w:sz w:val="32"/>
          <w:szCs w:val="32"/>
        </w:rPr>
      </w:pPr>
      <w:bookmarkStart w:id="28" w:name="_Toc219454884"/>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24"/>
        </w:rPr>
        <w:t>提升科技创新治理能力与水平</w:t>
      </w:r>
      <w:bookmarkEnd w:id="28"/>
    </w:p>
    <w:p>
      <w:pPr>
        <w:spacing w:line="580" w:lineRule="exact"/>
        <w:ind w:firstLine="640" w:firstLineChars="200"/>
        <w:outlineLvl w:val="1"/>
        <w:rPr>
          <w:rFonts w:ascii="楷体_GB2312" w:hAnsi="Times New Roman" w:eastAsia="楷体_GB2312"/>
          <w:sz w:val="32"/>
          <w:szCs w:val="32"/>
        </w:rPr>
      </w:pPr>
      <w:bookmarkStart w:id="29" w:name="_Toc219454885"/>
      <w:r>
        <w:rPr>
          <w:rFonts w:hint="eastAsia" w:ascii="楷体_GB2312" w:hAnsi="Times New Roman" w:eastAsia="楷体_GB2312"/>
          <w:sz w:val="32"/>
          <w:szCs w:val="32"/>
        </w:rPr>
        <w:t>第一节</w:t>
      </w:r>
      <w:r>
        <w:rPr>
          <w:rFonts w:ascii="楷体_GB2312" w:hAnsi="Times New Roman" w:eastAsia="楷体_GB2312"/>
          <w:sz w:val="32"/>
          <w:szCs w:val="32"/>
        </w:rPr>
        <w:t xml:space="preserve"> </w:t>
      </w:r>
      <w:r>
        <w:rPr>
          <w:rFonts w:hint="eastAsia" w:ascii="楷体_GB2312" w:hAnsi="Times New Roman" w:eastAsia="楷体_GB2312"/>
          <w:sz w:val="32"/>
          <w:szCs w:val="32"/>
        </w:rPr>
        <w:t>加强党对科技工作全面领导</w:t>
      </w:r>
      <w:bookmarkEnd w:id="29"/>
    </w:p>
    <w:p>
      <w:pPr>
        <w:widowControl/>
        <w:spacing w:line="580" w:lineRule="exact"/>
        <w:ind w:firstLine="640" w:firstLineChars="200"/>
        <w:rPr>
          <w:rFonts w:ascii="Times New Roman" w:hAnsi="Times New Roman" w:eastAsia="仿宋_GB2312" w:cs="仿宋_GB2312"/>
          <w:color w:val="000000"/>
          <w:kern w:val="0"/>
          <w:sz w:val="32"/>
          <w:szCs w:val="32"/>
          <w:u w:val="none"/>
          <w:lang w:bidi="ar"/>
        </w:rPr>
      </w:pPr>
      <w:r>
        <w:rPr>
          <w:rFonts w:hint="eastAsia" w:ascii="Times New Roman" w:hAnsi="Times New Roman" w:eastAsia="仿宋_GB2312" w:cs="仿宋_GB2312"/>
          <w:color w:val="000000"/>
          <w:kern w:val="0"/>
          <w:sz w:val="32"/>
          <w:szCs w:val="32"/>
          <w:lang w:bidi="ar"/>
        </w:rPr>
        <w:t>贯彻落实习近平总书记关于科技创新的重要论述精神和党中央对科技事业发展的决策部署，确保东莞科技工作始终沿着正确的政治方向前进。各级党组织落实全面从严治党主体责任，持续深化作风建设和纪律保障，加强对科技项目评审、经费使用、平台建设等重点领域和关键环节的监督与问责机制，营造风清气正科研生态。</w:t>
      </w:r>
      <w:r>
        <w:rPr>
          <w:rFonts w:hint="eastAsia" w:ascii="Times New Roman" w:hAnsi="Times New Roman" w:eastAsia="仿宋_GB2312" w:cs="仿宋_GB2312"/>
          <w:color w:val="000000"/>
          <w:kern w:val="0"/>
          <w:sz w:val="32"/>
          <w:szCs w:val="32"/>
          <w:u w:val="none"/>
          <w:lang w:bidi="ar"/>
        </w:rPr>
        <w:t>积极推进以产业链党建引领产业高质量发展，切实将党的政治功能、组织功能深度融入产业链发展各环节，把党的制度优势转化为产业链的发展优势、竞争优势。</w:t>
      </w:r>
    </w:p>
    <w:p>
      <w:pPr>
        <w:widowControl/>
        <w:spacing w:line="580" w:lineRule="exact"/>
        <w:ind w:firstLine="640" w:firstLineChars="200"/>
        <w:rPr>
          <w:rFonts w:ascii="Times New Roman" w:hAnsi="Times New Roman" w:eastAsia="仿宋_GB2312" w:cs="仿宋_GB2312"/>
          <w:color w:val="000000"/>
          <w:kern w:val="0"/>
          <w:sz w:val="32"/>
          <w:szCs w:val="32"/>
          <w:lang w:bidi="ar"/>
        </w:rPr>
      </w:pPr>
      <w:r>
        <w:rPr>
          <w:rFonts w:hint="eastAsia" w:ascii="Times New Roman" w:hAnsi="Times New Roman" w:eastAsia="仿宋_GB2312" w:cs="仿宋_GB2312"/>
          <w:color w:val="000000"/>
          <w:kern w:val="0"/>
          <w:sz w:val="32"/>
          <w:szCs w:val="32"/>
          <w:lang w:bidi="ar"/>
        </w:rPr>
        <w:t>加大财政科技投入力度。落实《广东省科技创新条例》中“地级以上市人民政府</w:t>
      </w:r>
      <w:bookmarkStart w:id="30" w:name="_Hlk214457396"/>
      <w:r>
        <w:rPr>
          <w:rFonts w:hint="eastAsia" w:ascii="Times New Roman" w:hAnsi="Times New Roman" w:eastAsia="仿宋_GB2312" w:cs="仿宋_GB2312"/>
          <w:color w:val="000000"/>
          <w:kern w:val="0"/>
          <w:sz w:val="32"/>
          <w:szCs w:val="32"/>
          <w:lang w:bidi="ar"/>
        </w:rPr>
        <w:t>财政用于科技经费的增长幅度应不低于地方财政经常性收入的增长幅度</w:t>
      </w:r>
      <w:bookmarkEnd w:id="30"/>
      <w:r>
        <w:rPr>
          <w:rFonts w:hint="eastAsia" w:ascii="Times New Roman" w:hAnsi="Times New Roman" w:eastAsia="仿宋_GB2312" w:cs="仿宋_GB2312"/>
          <w:color w:val="000000"/>
          <w:kern w:val="0"/>
          <w:sz w:val="32"/>
          <w:szCs w:val="32"/>
          <w:lang w:bidi="ar"/>
        </w:rPr>
        <w:t>”有关规定，确保财政科技投入适度增长。积极对接国家、省战略布局，主动争取国家、省财政科研资金与专项扶持。加大国资国企科研投入指标考核力度，调动国有资本力量支持科技创新。鼓励社会以捐赠和建立基金等方式多渠道投入，引导企业和社会力量增加研发投入。</w:t>
      </w:r>
    </w:p>
    <w:p>
      <w:pPr>
        <w:spacing w:line="580" w:lineRule="exact"/>
        <w:ind w:firstLine="640" w:firstLineChars="200"/>
        <w:outlineLvl w:val="1"/>
        <w:rPr>
          <w:rFonts w:ascii="楷体_GB2312" w:hAnsi="Times New Roman" w:eastAsia="楷体_GB2312"/>
          <w:sz w:val="32"/>
          <w:szCs w:val="32"/>
        </w:rPr>
      </w:pPr>
      <w:bookmarkStart w:id="31" w:name="_Toc219454886"/>
      <w:r>
        <w:rPr>
          <w:rFonts w:hint="eastAsia" w:ascii="楷体_GB2312" w:hAnsi="Times New Roman" w:eastAsia="楷体_GB2312"/>
          <w:sz w:val="32"/>
          <w:szCs w:val="32"/>
        </w:rPr>
        <w:t>第二节</w:t>
      </w:r>
      <w:r>
        <w:rPr>
          <w:rFonts w:ascii="楷体_GB2312" w:hAnsi="Times New Roman" w:eastAsia="楷体_GB2312"/>
          <w:sz w:val="32"/>
          <w:szCs w:val="32"/>
        </w:rPr>
        <w:t xml:space="preserve"> </w:t>
      </w:r>
      <w:r>
        <w:rPr>
          <w:rFonts w:hint="eastAsia" w:ascii="楷体_GB2312" w:hAnsi="Times New Roman" w:eastAsia="楷体_GB2312"/>
          <w:sz w:val="32"/>
          <w:szCs w:val="32"/>
        </w:rPr>
        <w:t>深化科技体制改革</w:t>
      </w:r>
      <w:bookmarkEnd w:id="31"/>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科技资源配置与深化科研经费管理改革。围绕全过程创新链加强项目、平台、人才、资金等创新要素一体化配置，构建符合新质生产力发展需求的科技计划体系，探索拓宽市级科技计划项目范围。在财政资金定额资助的科研项目中探索经费使用“负面清单+包干制”，实行定额包干资助，不再编制明细预算，赋予科研单位和人员更大经费使用自主权与技术路线决策权。扩大实施财政科研经费“补改投”改革试点，通过阶段性持股、适时退出方式实现财政资金滚动支持、循环利用。</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落实责任豁免与容错机制。对在自由探索和颠覆性技术研发中因技术路线选择失误或不可抗力导致的未达目标情形，经认定已履行勤勉尽责义务的，予以责任豁免，营造鼓励创新、宽容失败的科研环境，从根本上解除科研人员的后顾之忧。</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进科技评价体系改革。坚持以质量、绩效、贡献为核心的评价导向。基础研究类项目突出同行评议与长周期评价，强调代表性成果的原创性与科学价值；应用研究和技术开发类项目注重市场验证与用户评价，突出技术成果的成熟度、应用效果与产业贡献；应用示范类项目重点评价其集成性、推广价值、经济社会效益及行业带动作用。</w:t>
      </w:r>
    </w:p>
    <w:p>
      <w:pPr>
        <w:widowControl w:val="0"/>
        <w:spacing w:line="580" w:lineRule="exact"/>
        <w:ind w:firstLine="640" w:firstLineChars="200"/>
        <w:outlineLvl w:val="1"/>
        <w:rPr>
          <w:rFonts w:ascii="楷体_GB2312" w:hAnsi="Times New Roman" w:eastAsia="楷体_GB2312" w:cstheme="minorBidi"/>
          <w:color w:val="auto"/>
          <w:kern w:val="2"/>
          <w:sz w:val="32"/>
          <w:szCs w:val="32"/>
          <w:lang w:bidi="ar-SA"/>
        </w:rPr>
      </w:pPr>
      <w:bookmarkStart w:id="32" w:name="_Toc219454887"/>
      <w:r>
        <w:rPr>
          <w:rFonts w:hint="eastAsia" w:ascii="楷体_GB2312" w:hAnsi="Times New Roman" w:eastAsia="楷体_GB2312" w:cstheme="minorBidi"/>
          <w:color w:val="auto"/>
          <w:kern w:val="2"/>
          <w:sz w:val="32"/>
          <w:szCs w:val="32"/>
          <w:lang w:bidi="ar-SA"/>
        </w:rPr>
        <w:t>第三节</w:t>
      </w:r>
      <w:r>
        <w:rPr>
          <w:rFonts w:ascii="楷体_GB2312" w:hAnsi="Times New Roman" w:eastAsia="楷体_GB2312" w:cstheme="minorBidi"/>
          <w:color w:val="auto"/>
          <w:kern w:val="2"/>
          <w:sz w:val="32"/>
          <w:szCs w:val="32"/>
          <w:lang w:bidi="ar-SA"/>
        </w:rPr>
        <w:t xml:space="preserve"> </w:t>
      </w:r>
      <w:r>
        <w:rPr>
          <w:rFonts w:hint="eastAsia" w:ascii="楷体_GB2312" w:hAnsi="Times New Roman" w:eastAsia="楷体_GB2312" w:cstheme="minorBidi"/>
          <w:color w:val="auto"/>
          <w:kern w:val="2"/>
          <w:sz w:val="32"/>
          <w:szCs w:val="32"/>
          <w:lang w:bidi="ar-SA"/>
        </w:rPr>
        <w:t>加强与部门、镇街（园区）协同联动</w:t>
      </w:r>
      <w:bookmarkEnd w:id="32"/>
    </w:p>
    <w:p>
      <w:pPr>
        <w:widowControl/>
        <w:spacing w:line="580" w:lineRule="exact"/>
        <w:ind w:firstLine="640" w:firstLineChars="200"/>
        <w:rPr>
          <w:rFonts w:ascii="Times New Roman" w:hAnsi="Times New Roman" w:eastAsia="仿宋_GB2312" w:cs="仿宋_GB2312"/>
          <w:color w:val="000000"/>
          <w:kern w:val="0"/>
          <w:sz w:val="32"/>
          <w:szCs w:val="32"/>
          <w:shd w:val="clear" w:color="auto" w:fill="FFFF00"/>
          <w:lang w:bidi="ar"/>
        </w:rPr>
      </w:pPr>
      <w:r>
        <w:rPr>
          <w:rFonts w:hint="eastAsia" w:ascii="Times New Roman" w:hAnsi="Times New Roman" w:eastAsia="仿宋_GB2312" w:cs="仿宋_GB2312"/>
          <w:color w:val="000000"/>
          <w:kern w:val="0"/>
          <w:sz w:val="32"/>
          <w:szCs w:val="32"/>
          <w:lang w:bidi="ar"/>
        </w:rPr>
        <w:t>强化全市科技创新工作领导与统筹，加强跨部门协同联动，围绕科技重大规划、重大政策、重大改革、重大任务等凝聚部门合力，构建全市科技工作“一盘棋”格局。围绕“百千万工程”战略部署，以科技市镇会商机制为核心抓手，推动创新资源向镇街下沉，指导有条件的镇街（园区）建设创新创业综合体，实施差异化、精准化的科技赋能策略，建设一批具有示范带动作用的创新强镇。推动高校、新型研发机构与镇街共建概念验证中心、中试平台等新型载体，打通科技成果转化“最后一公里”。支持专业镇提质增效，探索建设专业镇示范区，形成一批在全国有较强影响力和竞争力的经济强镇。</w:t>
      </w:r>
    </w:p>
    <w:p>
      <w:pPr>
        <w:spacing w:line="580" w:lineRule="exact"/>
        <w:ind w:firstLine="640" w:firstLineChars="200"/>
        <w:outlineLvl w:val="1"/>
        <w:rPr>
          <w:rFonts w:ascii="楷体_GB2312" w:hAnsi="Times New Roman" w:eastAsia="楷体_GB2312"/>
          <w:sz w:val="32"/>
          <w:u w:val="none"/>
        </w:rPr>
      </w:pPr>
      <w:bookmarkStart w:id="33" w:name="_Toc219454888"/>
      <w:r>
        <w:rPr>
          <w:rFonts w:hint="eastAsia" w:ascii="楷体_GB2312" w:hAnsi="Times New Roman" w:eastAsia="楷体_GB2312"/>
          <w:sz w:val="32"/>
          <w:u w:val="none"/>
        </w:rPr>
        <w:t>第四节</w:t>
      </w:r>
      <w:r>
        <w:rPr>
          <w:rFonts w:ascii="楷体_GB2312" w:hAnsi="Times New Roman" w:eastAsia="楷体_GB2312"/>
          <w:sz w:val="32"/>
          <w:u w:val="none"/>
        </w:rPr>
        <w:t xml:space="preserve"> </w:t>
      </w:r>
      <w:r>
        <w:rPr>
          <w:rFonts w:hint="eastAsia" w:ascii="楷体_GB2312" w:hAnsi="Times New Roman" w:eastAsia="楷体_GB2312"/>
          <w:sz w:val="32"/>
          <w:u w:val="none"/>
        </w:rPr>
        <w:t>健全科技安全治理机制</w:t>
      </w:r>
      <w:bookmarkEnd w:id="33"/>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科技安全监测预警指标体系，强化部门协同，开展科技安全风险评估与预警。加强关键核心技术攻关中的风险识别与防控，充分利用人工智能、大数据技术对科技项目实施、新技术潜在社会伦理风险等实时监测、智能分析和风险预警，有效构建科技安全新格局。</w:t>
      </w:r>
      <w:r>
        <w:rPr>
          <w:rFonts w:ascii="仿宋_GB2312" w:hAnsi="仿宋_GB2312" w:eastAsia="仿宋_GB2312" w:cs="仿宋_GB2312"/>
          <w:color w:val="000000"/>
          <w:sz w:val="32"/>
        </w:rPr>
        <w:t>针对生命科学、人工智能等重点领域，</w:t>
      </w:r>
      <w:r>
        <w:rPr>
          <w:rFonts w:hint="eastAsia" w:ascii="仿宋_GB2312" w:hAnsi="仿宋_GB2312" w:eastAsia="仿宋_GB2312" w:cs="仿宋_GB2312"/>
          <w:color w:val="000000"/>
          <w:sz w:val="32"/>
        </w:rPr>
        <w:t>在</w:t>
      </w:r>
      <w:r>
        <w:rPr>
          <w:rFonts w:ascii="仿宋_GB2312" w:hAnsi="仿宋_GB2312" w:eastAsia="仿宋_GB2312" w:cs="仿宋_GB2312"/>
          <w:color w:val="000000"/>
          <w:sz w:val="32"/>
        </w:rPr>
        <w:t>高校、科研院所</w:t>
      </w:r>
      <w:r>
        <w:rPr>
          <w:rFonts w:hint="eastAsia" w:ascii="仿宋_GB2312" w:hAnsi="仿宋_GB2312" w:eastAsia="仿宋_GB2312" w:cs="仿宋_GB2312"/>
          <w:color w:val="000000"/>
          <w:sz w:val="32"/>
        </w:rPr>
        <w:t>、</w:t>
      </w:r>
      <w:r>
        <w:rPr>
          <w:rFonts w:ascii="仿宋_GB2312" w:hAnsi="仿宋_GB2312" w:eastAsia="仿宋_GB2312" w:cs="仿宋_GB2312"/>
          <w:color w:val="000000"/>
          <w:sz w:val="32"/>
        </w:rPr>
        <w:t>企业</w:t>
      </w:r>
      <w:r>
        <w:rPr>
          <w:rFonts w:hint="eastAsia" w:ascii="仿宋_GB2312" w:hAnsi="仿宋_GB2312" w:eastAsia="仿宋_GB2312" w:cs="仿宋_GB2312"/>
          <w:color w:val="000000"/>
          <w:sz w:val="32"/>
        </w:rPr>
        <w:t>推广</w:t>
      </w:r>
      <w:r>
        <w:rPr>
          <w:rFonts w:ascii="仿宋_GB2312" w:hAnsi="仿宋_GB2312" w:eastAsia="仿宋_GB2312" w:cs="仿宋_GB2312"/>
          <w:color w:val="000000"/>
          <w:sz w:val="32"/>
        </w:rPr>
        <w:t>伦理审查，确保科技创新活动符合伦理规范。</w:t>
      </w:r>
      <w:r>
        <w:rPr>
          <w:rFonts w:hint="eastAsia" w:ascii="Times New Roman" w:hAnsi="Times New Roman" w:eastAsia="仿宋_GB2312" w:cs="Times New Roman"/>
          <w:sz w:val="32"/>
          <w:szCs w:val="32"/>
        </w:rPr>
        <w:t>加强科技基础条件自主保障，加强关键核心技术自主可控和安全保护能力建设，提升产业链供应链韧性与安全水平。加强科技安全宣传教育。</w:t>
      </w:r>
    </w:p>
    <w:p>
      <w:pPr>
        <w:spacing w:line="580" w:lineRule="exact"/>
        <w:ind w:firstLine="640" w:firstLineChars="200"/>
        <w:outlineLvl w:val="1"/>
        <w:rPr>
          <w:rFonts w:ascii="楷体_GB2312" w:hAnsi="Times New Roman" w:eastAsia="楷体_GB2312"/>
          <w:sz w:val="32"/>
          <w:u w:val="none"/>
        </w:rPr>
      </w:pPr>
      <w:bookmarkStart w:id="34" w:name="_Toc219454889"/>
      <w:r>
        <w:rPr>
          <w:rFonts w:hint="eastAsia" w:ascii="楷体_GB2312" w:hAnsi="Times New Roman" w:eastAsia="楷体_GB2312"/>
          <w:sz w:val="32"/>
          <w:u w:val="none"/>
        </w:rPr>
        <w:t>第五节</w:t>
      </w:r>
      <w:r>
        <w:rPr>
          <w:rFonts w:ascii="楷体_GB2312" w:hAnsi="Times New Roman" w:eastAsia="楷体_GB2312"/>
          <w:sz w:val="32"/>
          <w:u w:val="none"/>
        </w:rPr>
        <w:t xml:space="preserve"> </w:t>
      </w:r>
      <w:r>
        <w:rPr>
          <w:rFonts w:hint="eastAsia" w:ascii="楷体_GB2312" w:hAnsi="Times New Roman" w:eastAsia="楷体_GB2312"/>
          <w:sz w:val="32"/>
          <w:u w:val="none"/>
        </w:rPr>
        <w:t>加强科学普及和宣传</w:t>
      </w:r>
      <w:bookmarkEnd w:id="34"/>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科普场馆设施建设，优化市镇两级科普场馆布局，支持专业类科普场馆建设，推动现有场馆智慧化升级，鼓励企业、高校、科研院所依托自身资源建设特色科普基地。加强高端科研资源科普化，推动松山湖实验室、重大科技基础设施、创新创业基地等向公众开放，支持科研人员将科研成果转化为科普产品、科普课程。持续办好“科普活动月”“科技活动周”“科普讲解大赛”“科普嘉年华”等品牌活动，扩大覆盖面和影响力。将创新教育融入青少年素质教育，通过举办创新大赛、创客活动等，激发青少年好奇心、想象力和探求欲。深入挖掘和宣传东莞本地及在莞工作科技工作者献身科学、服务家国的先进事迹，弘扬科学家精神，引导公众崇尚科学、热爱科学。</w:t>
      </w:r>
    </w:p>
    <w:p>
      <w:pPr>
        <w:spacing w:line="580" w:lineRule="exact"/>
        <w:ind w:firstLine="640" w:firstLineChars="200"/>
        <w:outlineLvl w:val="1"/>
        <w:rPr>
          <w:rFonts w:ascii="楷体_GB2312" w:hAnsi="Times New Roman" w:eastAsia="楷体_GB2312"/>
          <w:sz w:val="32"/>
          <w:u w:val="none"/>
        </w:rPr>
      </w:pPr>
      <w:bookmarkStart w:id="35" w:name="_Toc219454890"/>
      <w:r>
        <w:rPr>
          <w:rFonts w:hint="eastAsia" w:ascii="楷体_GB2312" w:hAnsi="Times New Roman" w:eastAsia="楷体_GB2312"/>
          <w:sz w:val="32"/>
          <w:u w:val="none"/>
        </w:rPr>
        <w:t>第六节</w:t>
      </w:r>
      <w:r>
        <w:rPr>
          <w:rFonts w:ascii="楷体_GB2312" w:hAnsi="Times New Roman" w:eastAsia="楷体_GB2312"/>
          <w:sz w:val="32"/>
          <w:u w:val="none"/>
        </w:rPr>
        <w:t xml:space="preserve"> </w:t>
      </w:r>
      <w:r>
        <w:rPr>
          <w:rFonts w:hint="eastAsia" w:ascii="楷体_GB2312" w:hAnsi="Times New Roman" w:eastAsia="楷体_GB2312"/>
          <w:sz w:val="32"/>
          <w:u w:val="none"/>
        </w:rPr>
        <w:t>加强规划跟踪实施与管理</w:t>
      </w:r>
      <w:bookmarkEnd w:id="35"/>
    </w:p>
    <w:p>
      <w:pPr>
        <w:widowControl/>
        <w:spacing w:line="580" w:lineRule="exact"/>
        <w:ind w:firstLine="640" w:firstLineChars="200"/>
        <w:rPr>
          <w:rFonts w:ascii="Times New Roman" w:hAnsi="Times New Roman" w:eastAsia="仿宋_GB2312" w:cs="仿宋_GB2312"/>
          <w:color w:val="000000"/>
          <w:kern w:val="0"/>
          <w:sz w:val="32"/>
          <w:szCs w:val="32"/>
          <w:lang w:bidi="ar"/>
        </w:rPr>
      </w:pPr>
      <w:r>
        <w:rPr>
          <w:rFonts w:hint="eastAsia" w:ascii="Times New Roman" w:hAnsi="Times New Roman" w:eastAsia="仿宋_GB2312" w:cs="Times New Roman"/>
          <w:sz w:val="32"/>
          <w:szCs w:val="32"/>
        </w:rPr>
        <w:t>加强政策制定与科技规划的衔接，强化科技规划的指导地位，推进科技政策与科技规划目标一致、任务协同、资源统筹。</w:t>
      </w:r>
      <w:r>
        <w:rPr>
          <w:rFonts w:hint="eastAsia" w:ascii="Times New Roman" w:hAnsi="Times New Roman" w:eastAsia="仿宋_GB2312" w:cs="仿宋_GB2312"/>
          <w:color w:val="000000"/>
          <w:kern w:val="0"/>
          <w:sz w:val="32"/>
          <w:szCs w:val="32"/>
          <w:lang w:bidi="ar"/>
        </w:rPr>
        <w:t>完善科技规划协同推进机制，细化落实规划目标，将主要指标、重点任务逐级分解，纳入各部门年度工作重点，明确责任主体与时间节点，推动科技规划实施管理从各管一段向高效协同转变，确保规划内容有效落地实施。围绕规划目标、重大任务和重点工程等关键内容，加强规划实施的动态评估，及时掌握进展与问题。依据评估结果，适时优化调整规划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方正大标宋简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2040204020203"/>
    <w:charset w:val="86"/>
    <w:family w:val="swiss"/>
    <w:pitch w:val="default"/>
    <w:sig w:usb0="A00002BF" w:usb1="2ACF7CFB" w:usb2="00000016" w:usb3="00000000" w:csb0="2004019F" w:csb1="00000000"/>
  </w:font>
  <w:font w:name="Helvetica">
    <w:panose1 w:val="020B0504020202030204"/>
    <w:charset w:val="00"/>
    <w:family w:val="swiss"/>
    <w:pitch w:val="default"/>
    <w:sig w:usb0="00000007" w:usb1="00000000" w:usb2="00000000" w:usb3="00000000" w:csb0="00000093" w:csb1="00000000"/>
  </w:font>
  <w:font w:name="Arial Unicode MS">
    <w:panose1 w:val="020B0604020202020204"/>
    <w:charset w:val="86"/>
    <w:family w:val="auto"/>
    <w:pitch w:val="default"/>
    <w:sig w:usb0="FFFFFFFF" w:usb1="E9FFFFFF" w:usb2="0000003F" w:usb3="00000000" w:csb0="603F01FF" w:csb1="FFFF0000"/>
  </w:font>
  <w:font w:name="华康简仿宋">
    <w:panose1 w:val="02020409010101010101"/>
    <w:charset w:val="86"/>
    <w:family w:val="auto"/>
    <w:pitch w:val="default"/>
    <w:sig w:usb0="00000001" w:usb1="08010000" w:usb2="00000012"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书宋_GBK">
    <w:panose1 w:val="02000000000000000000"/>
    <w:charset w:val="86"/>
    <w:family w:val="auto"/>
    <w:pitch w:val="default"/>
    <w:sig w:usb0="00000001" w:usb1="0800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008228"/>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3916299"/>
      <w:docPartObj>
        <w:docPartGallery w:val="AutoText"/>
      </w:docPartObj>
    </w:sdtPr>
    <w:sdtEndPr>
      <w:rPr>
        <w:sz w:val="21"/>
        <w:szCs w:val="21"/>
      </w:rPr>
    </w:sdtEndPr>
    <w:sdtContent>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47"/>
    <w:rsid w:val="00001432"/>
    <w:rsid w:val="00005AE8"/>
    <w:rsid w:val="00010B8C"/>
    <w:rsid w:val="000122DD"/>
    <w:rsid w:val="000136F6"/>
    <w:rsid w:val="000148F0"/>
    <w:rsid w:val="00017DDB"/>
    <w:rsid w:val="0002024D"/>
    <w:rsid w:val="000219D5"/>
    <w:rsid w:val="00024103"/>
    <w:rsid w:val="00032DA1"/>
    <w:rsid w:val="000334EB"/>
    <w:rsid w:val="00045ED4"/>
    <w:rsid w:val="00050067"/>
    <w:rsid w:val="00055D37"/>
    <w:rsid w:val="000572DE"/>
    <w:rsid w:val="0006014D"/>
    <w:rsid w:val="00081D66"/>
    <w:rsid w:val="00095578"/>
    <w:rsid w:val="000967FD"/>
    <w:rsid w:val="00097CFA"/>
    <w:rsid w:val="000A3955"/>
    <w:rsid w:val="000A5B6C"/>
    <w:rsid w:val="000B22F7"/>
    <w:rsid w:val="000B2698"/>
    <w:rsid w:val="000B6951"/>
    <w:rsid w:val="000C6DDE"/>
    <w:rsid w:val="000D082E"/>
    <w:rsid w:val="000D6AC1"/>
    <w:rsid w:val="000E198C"/>
    <w:rsid w:val="000E220C"/>
    <w:rsid w:val="000F57E9"/>
    <w:rsid w:val="000F7E54"/>
    <w:rsid w:val="00102D4F"/>
    <w:rsid w:val="00103581"/>
    <w:rsid w:val="00104985"/>
    <w:rsid w:val="00111BF3"/>
    <w:rsid w:val="001200D1"/>
    <w:rsid w:val="0012562A"/>
    <w:rsid w:val="00133224"/>
    <w:rsid w:val="00137EF9"/>
    <w:rsid w:val="00142992"/>
    <w:rsid w:val="00142EC3"/>
    <w:rsid w:val="00142F22"/>
    <w:rsid w:val="00143C59"/>
    <w:rsid w:val="00147351"/>
    <w:rsid w:val="00151CEA"/>
    <w:rsid w:val="001558D0"/>
    <w:rsid w:val="001605C6"/>
    <w:rsid w:val="0018176C"/>
    <w:rsid w:val="00192041"/>
    <w:rsid w:val="001A311B"/>
    <w:rsid w:val="001A4B84"/>
    <w:rsid w:val="001A7C61"/>
    <w:rsid w:val="001B03D4"/>
    <w:rsid w:val="001B5D4A"/>
    <w:rsid w:val="001C16C4"/>
    <w:rsid w:val="001D3FEB"/>
    <w:rsid w:val="001D4123"/>
    <w:rsid w:val="001E01C1"/>
    <w:rsid w:val="001E1D1D"/>
    <w:rsid w:val="001E5AA8"/>
    <w:rsid w:val="001F06A6"/>
    <w:rsid w:val="001F4B96"/>
    <w:rsid w:val="002238D8"/>
    <w:rsid w:val="00223E17"/>
    <w:rsid w:val="00230CC9"/>
    <w:rsid w:val="00233A42"/>
    <w:rsid w:val="002364C7"/>
    <w:rsid w:val="00237554"/>
    <w:rsid w:val="00237EA0"/>
    <w:rsid w:val="00240C5B"/>
    <w:rsid w:val="002456FF"/>
    <w:rsid w:val="00254391"/>
    <w:rsid w:val="0025736E"/>
    <w:rsid w:val="00260BBA"/>
    <w:rsid w:val="00270D83"/>
    <w:rsid w:val="002722BC"/>
    <w:rsid w:val="00287C2A"/>
    <w:rsid w:val="00290557"/>
    <w:rsid w:val="002948C0"/>
    <w:rsid w:val="002A41A5"/>
    <w:rsid w:val="002B0722"/>
    <w:rsid w:val="002B1153"/>
    <w:rsid w:val="002B2515"/>
    <w:rsid w:val="002B266C"/>
    <w:rsid w:val="002B33D3"/>
    <w:rsid w:val="002C1ED4"/>
    <w:rsid w:val="002C4590"/>
    <w:rsid w:val="002C4B04"/>
    <w:rsid w:val="002C7C9C"/>
    <w:rsid w:val="002D3838"/>
    <w:rsid w:val="002D40EE"/>
    <w:rsid w:val="002D7D59"/>
    <w:rsid w:val="002F183E"/>
    <w:rsid w:val="002F2441"/>
    <w:rsid w:val="002F37A1"/>
    <w:rsid w:val="002F45E0"/>
    <w:rsid w:val="003049C5"/>
    <w:rsid w:val="003131FC"/>
    <w:rsid w:val="00317200"/>
    <w:rsid w:val="00317E44"/>
    <w:rsid w:val="00321A3E"/>
    <w:rsid w:val="00325BB0"/>
    <w:rsid w:val="00325D8A"/>
    <w:rsid w:val="003344EA"/>
    <w:rsid w:val="00335A17"/>
    <w:rsid w:val="00336B6D"/>
    <w:rsid w:val="00351C60"/>
    <w:rsid w:val="00352150"/>
    <w:rsid w:val="00352EEB"/>
    <w:rsid w:val="00361AA6"/>
    <w:rsid w:val="00364186"/>
    <w:rsid w:val="00364554"/>
    <w:rsid w:val="003662E5"/>
    <w:rsid w:val="0036772D"/>
    <w:rsid w:val="00376D57"/>
    <w:rsid w:val="0038000B"/>
    <w:rsid w:val="00380CF7"/>
    <w:rsid w:val="00387CF7"/>
    <w:rsid w:val="003925B9"/>
    <w:rsid w:val="00395412"/>
    <w:rsid w:val="0039675F"/>
    <w:rsid w:val="003977EC"/>
    <w:rsid w:val="003A6B63"/>
    <w:rsid w:val="003B4095"/>
    <w:rsid w:val="003B4C2B"/>
    <w:rsid w:val="003B5C96"/>
    <w:rsid w:val="003C0161"/>
    <w:rsid w:val="003C3DE1"/>
    <w:rsid w:val="003C76C3"/>
    <w:rsid w:val="003D21B5"/>
    <w:rsid w:val="003D2D8E"/>
    <w:rsid w:val="003D6FB8"/>
    <w:rsid w:val="003D75C8"/>
    <w:rsid w:val="003E0751"/>
    <w:rsid w:val="003E2EE7"/>
    <w:rsid w:val="003E67D6"/>
    <w:rsid w:val="003F57B9"/>
    <w:rsid w:val="004038EA"/>
    <w:rsid w:val="00405F97"/>
    <w:rsid w:val="0040615C"/>
    <w:rsid w:val="00406B8E"/>
    <w:rsid w:val="00411801"/>
    <w:rsid w:val="00425881"/>
    <w:rsid w:val="0043596C"/>
    <w:rsid w:val="00447CBC"/>
    <w:rsid w:val="004539B1"/>
    <w:rsid w:val="00454665"/>
    <w:rsid w:val="004563F6"/>
    <w:rsid w:val="00463140"/>
    <w:rsid w:val="00463BE7"/>
    <w:rsid w:val="00473AC1"/>
    <w:rsid w:val="0047408C"/>
    <w:rsid w:val="00474536"/>
    <w:rsid w:val="0047523A"/>
    <w:rsid w:val="00476EF5"/>
    <w:rsid w:val="00481ABB"/>
    <w:rsid w:val="00481B0E"/>
    <w:rsid w:val="004A025F"/>
    <w:rsid w:val="004A1CA2"/>
    <w:rsid w:val="004A2E9D"/>
    <w:rsid w:val="004B2BB0"/>
    <w:rsid w:val="004C3EB9"/>
    <w:rsid w:val="004C50B8"/>
    <w:rsid w:val="004E697A"/>
    <w:rsid w:val="004F4B0D"/>
    <w:rsid w:val="0050447B"/>
    <w:rsid w:val="00522135"/>
    <w:rsid w:val="0052255F"/>
    <w:rsid w:val="0053168D"/>
    <w:rsid w:val="00532713"/>
    <w:rsid w:val="00533742"/>
    <w:rsid w:val="005371F7"/>
    <w:rsid w:val="0053751D"/>
    <w:rsid w:val="00546DD5"/>
    <w:rsid w:val="0054788B"/>
    <w:rsid w:val="00550919"/>
    <w:rsid w:val="005518E3"/>
    <w:rsid w:val="00555E57"/>
    <w:rsid w:val="00557514"/>
    <w:rsid w:val="00560392"/>
    <w:rsid w:val="00561244"/>
    <w:rsid w:val="0056416E"/>
    <w:rsid w:val="00591B0F"/>
    <w:rsid w:val="0059748E"/>
    <w:rsid w:val="005975CE"/>
    <w:rsid w:val="005A3118"/>
    <w:rsid w:val="005A6E92"/>
    <w:rsid w:val="005A7AAB"/>
    <w:rsid w:val="005C1A50"/>
    <w:rsid w:val="005C1B71"/>
    <w:rsid w:val="005D0874"/>
    <w:rsid w:val="005D266D"/>
    <w:rsid w:val="005E03E1"/>
    <w:rsid w:val="005E52F5"/>
    <w:rsid w:val="005F1FE6"/>
    <w:rsid w:val="005F3D74"/>
    <w:rsid w:val="005F74D9"/>
    <w:rsid w:val="0060155F"/>
    <w:rsid w:val="00603155"/>
    <w:rsid w:val="00607578"/>
    <w:rsid w:val="00611782"/>
    <w:rsid w:val="0061385A"/>
    <w:rsid w:val="006175AB"/>
    <w:rsid w:val="00625F4C"/>
    <w:rsid w:val="00626046"/>
    <w:rsid w:val="00626C57"/>
    <w:rsid w:val="00633659"/>
    <w:rsid w:val="00633CEF"/>
    <w:rsid w:val="00635568"/>
    <w:rsid w:val="00652DDD"/>
    <w:rsid w:val="0066140F"/>
    <w:rsid w:val="00663B79"/>
    <w:rsid w:val="00663DDA"/>
    <w:rsid w:val="006653C7"/>
    <w:rsid w:val="00666303"/>
    <w:rsid w:val="00670CD1"/>
    <w:rsid w:val="00677B91"/>
    <w:rsid w:val="006831CC"/>
    <w:rsid w:val="00683925"/>
    <w:rsid w:val="00686419"/>
    <w:rsid w:val="00687821"/>
    <w:rsid w:val="00690D79"/>
    <w:rsid w:val="00696346"/>
    <w:rsid w:val="006B0B2D"/>
    <w:rsid w:val="006B3315"/>
    <w:rsid w:val="006C0197"/>
    <w:rsid w:val="006C46D2"/>
    <w:rsid w:val="006C5751"/>
    <w:rsid w:val="006D1896"/>
    <w:rsid w:val="006D1AFE"/>
    <w:rsid w:val="006D48B5"/>
    <w:rsid w:val="006D5095"/>
    <w:rsid w:val="006E0BBD"/>
    <w:rsid w:val="006E1235"/>
    <w:rsid w:val="006E3468"/>
    <w:rsid w:val="006E3B01"/>
    <w:rsid w:val="006E5573"/>
    <w:rsid w:val="006E75A4"/>
    <w:rsid w:val="006F1166"/>
    <w:rsid w:val="006F4C36"/>
    <w:rsid w:val="006F61B7"/>
    <w:rsid w:val="0070456F"/>
    <w:rsid w:val="00705B27"/>
    <w:rsid w:val="00710AD2"/>
    <w:rsid w:val="00714DCA"/>
    <w:rsid w:val="0072124A"/>
    <w:rsid w:val="007250A9"/>
    <w:rsid w:val="0072532F"/>
    <w:rsid w:val="00727427"/>
    <w:rsid w:val="00734FE8"/>
    <w:rsid w:val="00751237"/>
    <w:rsid w:val="00760178"/>
    <w:rsid w:val="0076588E"/>
    <w:rsid w:val="00766413"/>
    <w:rsid w:val="00772603"/>
    <w:rsid w:val="00773DF2"/>
    <w:rsid w:val="00780041"/>
    <w:rsid w:val="00782D44"/>
    <w:rsid w:val="00786720"/>
    <w:rsid w:val="007868BB"/>
    <w:rsid w:val="007925F3"/>
    <w:rsid w:val="0079707B"/>
    <w:rsid w:val="007A16C3"/>
    <w:rsid w:val="007A2A35"/>
    <w:rsid w:val="007A33DF"/>
    <w:rsid w:val="007A79E1"/>
    <w:rsid w:val="007B4971"/>
    <w:rsid w:val="007B5954"/>
    <w:rsid w:val="007B7222"/>
    <w:rsid w:val="007C036C"/>
    <w:rsid w:val="007C0F3C"/>
    <w:rsid w:val="007C39D3"/>
    <w:rsid w:val="007D0A74"/>
    <w:rsid w:val="007D1B9F"/>
    <w:rsid w:val="007D2C9B"/>
    <w:rsid w:val="007D6898"/>
    <w:rsid w:val="007F0CDE"/>
    <w:rsid w:val="007F1BE3"/>
    <w:rsid w:val="007F29CE"/>
    <w:rsid w:val="007F4DD7"/>
    <w:rsid w:val="008024A3"/>
    <w:rsid w:val="00805DB2"/>
    <w:rsid w:val="0080601C"/>
    <w:rsid w:val="00806C2C"/>
    <w:rsid w:val="008116ED"/>
    <w:rsid w:val="008125DC"/>
    <w:rsid w:val="008139DE"/>
    <w:rsid w:val="00822213"/>
    <w:rsid w:val="00830BFA"/>
    <w:rsid w:val="00830C52"/>
    <w:rsid w:val="00833793"/>
    <w:rsid w:val="00833800"/>
    <w:rsid w:val="00834965"/>
    <w:rsid w:val="008460DF"/>
    <w:rsid w:val="00846F21"/>
    <w:rsid w:val="0085335F"/>
    <w:rsid w:val="00853AEC"/>
    <w:rsid w:val="008735C8"/>
    <w:rsid w:val="00875A15"/>
    <w:rsid w:val="00875A65"/>
    <w:rsid w:val="00877A4C"/>
    <w:rsid w:val="00883926"/>
    <w:rsid w:val="00891D36"/>
    <w:rsid w:val="0089323A"/>
    <w:rsid w:val="008A491C"/>
    <w:rsid w:val="008A606A"/>
    <w:rsid w:val="008A6ADF"/>
    <w:rsid w:val="008B2099"/>
    <w:rsid w:val="008B5C0A"/>
    <w:rsid w:val="008D04E5"/>
    <w:rsid w:val="008D0904"/>
    <w:rsid w:val="008D1B8D"/>
    <w:rsid w:val="008D30CA"/>
    <w:rsid w:val="008D3D3D"/>
    <w:rsid w:val="008E0462"/>
    <w:rsid w:val="008E1BBE"/>
    <w:rsid w:val="008E226F"/>
    <w:rsid w:val="008E39A1"/>
    <w:rsid w:val="008E42FB"/>
    <w:rsid w:val="008F1298"/>
    <w:rsid w:val="008F3E3A"/>
    <w:rsid w:val="008F46BD"/>
    <w:rsid w:val="009153E7"/>
    <w:rsid w:val="009168E1"/>
    <w:rsid w:val="00920871"/>
    <w:rsid w:val="00920B85"/>
    <w:rsid w:val="00934BE7"/>
    <w:rsid w:val="00945003"/>
    <w:rsid w:val="00957481"/>
    <w:rsid w:val="0096683C"/>
    <w:rsid w:val="00966B91"/>
    <w:rsid w:val="00967F81"/>
    <w:rsid w:val="00970A21"/>
    <w:rsid w:val="009750AD"/>
    <w:rsid w:val="00975567"/>
    <w:rsid w:val="00975E89"/>
    <w:rsid w:val="0097705F"/>
    <w:rsid w:val="00981459"/>
    <w:rsid w:val="009865A9"/>
    <w:rsid w:val="009935E6"/>
    <w:rsid w:val="009A2176"/>
    <w:rsid w:val="009A51D0"/>
    <w:rsid w:val="009A6498"/>
    <w:rsid w:val="009B4738"/>
    <w:rsid w:val="009B4BFD"/>
    <w:rsid w:val="009C203A"/>
    <w:rsid w:val="009C2D3E"/>
    <w:rsid w:val="009C3B13"/>
    <w:rsid w:val="009C69B2"/>
    <w:rsid w:val="009C767B"/>
    <w:rsid w:val="009D6D4D"/>
    <w:rsid w:val="009E14D5"/>
    <w:rsid w:val="009E244F"/>
    <w:rsid w:val="009E77BA"/>
    <w:rsid w:val="00A009FF"/>
    <w:rsid w:val="00A0685F"/>
    <w:rsid w:val="00A16711"/>
    <w:rsid w:val="00A26E81"/>
    <w:rsid w:val="00A3228D"/>
    <w:rsid w:val="00A4246B"/>
    <w:rsid w:val="00A43002"/>
    <w:rsid w:val="00A50BF5"/>
    <w:rsid w:val="00A67D00"/>
    <w:rsid w:val="00A71810"/>
    <w:rsid w:val="00A732A0"/>
    <w:rsid w:val="00A73C76"/>
    <w:rsid w:val="00A77F6A"/>
    <w:rsid w:val="00A85865"/>
    <w:rsid w:val="00A864D0"/>
    <w:rsid w:val="00A9472A"/>
    <w:rsid w:val="00A965E6"/>
    <w:rsid w:val="00AA5DB8"/>
    <w:rsid w:val="00AB599C"/>
    <w:rsid w:val="00AC1A1F"/>
    <w:rsid w:val="00AC2E1E"/>
    <w:rsid w:val="00AC3FE3"/>
    <w:rsid w:val="00AC471C"/>
    <w:rsid w:val="00AC6FD1"/>
    <w:rsid w:val="00AD2984"/>
    <w:rsid w:val="00AD3A84"/>
    <w:rsid w:val="00AE1347"/>
    <w:rsid w:val="00AE1475"/>
    <w:rsid w:val="00AF2EEE"/>
    <w:rsid w:val="00AF7AB9"/>
    <w:rsid w:val="00B04189"/>
    <w:rsid w:val="00B04E4C"/>
    <w:rsid w:val="00B071B1"/>
    <w:rsid w:val="00B162B7"/>
    <w:rsid w:val="00B20323"/>
    <w:rsid w:val="00B21CE6"/>
    <w:rsid w:val="00B23859"/>
    <w:rsid w:val="00B25BBC"/>
    <w:rsid w:val="00B31078"/>
    <w:rsid w:val="00B339C7"/>
    <w:rsid w:val="00B34F95"/>
    <w:rsid w:val="00B429AE"/>
    <w:rsid w:val="00B44869"/>
    <w:rsid w:val="00B47A10"/>
    <w:rsid w:val="00B51805"/>
    <w:rsid w:val="00B51A4F"/>
    <w:rsid w:val="00B61D3F"/>
    <w:rsid w:val="00B640A3"/>
    <w:rsid w:val="00B64E35"/>
    <w:rsid w:val="00B6748A"/>
    <w:rsid w:val="00B70910"/>
    <w:rsid w:val="00B738A1"/>
    <w:rsid w:val="00B8210A"/>
    <w:rsid w:val="00B95757"/>
    <w:rsid w:val="00B96A4C"/>
    <w:rsid w:val="00BA172D"/>
    <w:rsid w:val="00BB15DF"/>
    <w:rsid w:val="00BB291E"/>
    <w:rsid w:val="00BB4095"/>
    <w:rsid w:val="00BB5826"/>
    <w:rsid w:val="00BC411A"/>
    <w:rsid w:val="00BE2C8B"/>
    <w:rsid w:val="00BF0EB1"/>
    <w:rsid w:val="00BF3240"/>
    <w:rsid w:val="00BF3B10"/>
    <w:rsid w:val="00BF45F9"/>
    <w:rsid w:val="00BF5539"/>
    <w:rsid w:val="00C0438D"/>
    <w:rsid w:val="00C04F33"/>
    <w:rsid w:val="00C06525"/>
    <w:rsid w:val="00C14816"/>
    <w:rsid w:val="00C153E4"/>
    <w:rsid w:val="00C15D77"/>
    <w:rsid w:val="00C1694C"/>
    <w:rsid w:val="00C22D18"/>
    <w:rsid w:val="00C24BD4"/>
    <w:rsid w:val="00C2597A"/>
    <w:rsid w:val="00C3050E"/>
    <w:rsid w:val="00C34BD6"/>
    <w:rsid w:val="00C34C66"/>
    <w:rsid w:val="00C40C7A"/>
    <w:rsid w:val="00C43AA6"/>
    <w:rsid w:val="00C521B3"/>
    <w:rsid w:val="00C53402"/>
    <w:rsid w:val="00C62017"/>
    <w:rsid w:val="00C669C8"/>
    <w:rsid w:val="00C67E86"/>
    <w:rsid w:val="00C730AD"/>
    <w:rsid w:val="00C73166"/>
    <w:rsid w:val="00C81773"/>
    <w:rsid w:val="00C825AA"/>
    <w:rsid w:val="00C8475E"/>
    <w:rsid w:val="00C850F2"/>
    <w:rsid w:val="00C9166E"/>
    <w:rsid w:val="00C932B0"/>
    <w:rsid w:val="00C94433"/>
    <w:rsid w:val="00C94F73"/>
    <w:rsid w:val="00C960E6"/>
    <w:rsid w:val="00CA00AA"/>
    <w:rsid w:val="00CA4AD8"/>
    <w:rsid w:val="00CA65EE"/>
    <w:rsid w:val="00CB0C79"/>
    <w:rsid w:val="00CB2E9C"/>
    <w:rsid w:val="00CB4DB0"/>
    <w:rsid w:val="00CC7DBF"/>
    <w:rsid w:val="00CD2EB4"/>
    <w:rsid w:val="00CD5FB3"/>
    <w:rsid w:val="00CD7170"/>
    <w:rsid w:val="00CE7E19"/>
    <w:rsid w:val="00CF0E93"/>
    <w:rsid w:val="00CF35E3"/>
    <w:rsid w:val="00CF6031"/>
    <w:rsid w:val="00D0116A"/>
    <w:rsid w:val="00D020B7"/>
    <w:rsid w:val="00D04446"/>
    <w:rsid w:val="00D10BD6"/>
    <w:rsid w:val="00D16405"/>
    <w:rsid w:val="00D17028"/>
    <w:rsid w:val="00D24CA3"/>
    <w:rsid w:val="00D33D1A"/>
    <w:rsid w:val="00D340C2"/>
    <w:rsid w:val="00D3585B"/>
    <w:rsid w:val="00D416E9"/>
    <w:rsid w:val="00D41835"/>
    <w:rsid w:val="00D41D70"/>
    <w:rsid w:val="00D52806"/>
    <w:rsid w:val="00D5590D"/>
    <w:rsid w:val="00D61DF8"/>
    <w:rsid w:val="00D80CCD"/>
    <w:rsid w:val="00D81993"/>
    <w:rsid w:val="00D87DE4"/>
    <w:rsid w:val="00D93A91"/>
    <w:rsid w:val="00DA3431"/>
    <w:rsid w:val="00DA3AC7"/>
    <w:rsid w:val="00DA7FF0"/>
    <w:rsid w:val="00DB4E45"/>
    <w:rsid w:val="00DC3438"/>
    <w:rsid w:val="00DC3B82"/>
    <w:rsid w:val="00DC4694"/>
    <w:rsid w:val="00DD1E65"/>
    <w:rsid w:val="00DE1A66"/>
    <w:rsid w:val="00DF0C8E"/>
    <w:rsid w:val="00DF453E"/>
    <w:rsid w:val="00DF6C1B"/>
    <w:rsid w:val="00E005A1"/>
    <w:rsid w:val="00E01341"/>
    <w:rsid w:val="00E026AE"/>
    <w:rsid w:val="00E031D3"/>
    <w:rsid w:val="00E049BE"/>
    <w:rsid w:val="00E12ABA"/>
    <w:rsid w:val="00E13A49"/>
    <w:rsid w:val="00E1574F"/>
    <w:rsid w:val="00E21A4F"/>
    <w:rsid w:val="00E25E9C"/>
    <w:rsid w:val="00E273BF"/>
    <w:rsid w:val="00E36263"/>
    <w:rsid w:val="00E50420"/>
    <w:rsid w:val="00E51417"/>
    <w:rsid w:val="00E528A1"/>
    <w:rsid w:val="00E53B5E"/>
    <w:rsid w:val="00E54643"/>
    <w:rsid w:val="00E66568"/>
    <w:rsid w:val="00E669D7"/>
    <w:rsid w:val="00E757C7"/>
    <w:rsid w:val="00E75C15"/>
    <w:rsid w:val="00E75D90"/>
    <w:rsid w:val="00E77C5B"/>
    <w:rsid w:val="00E859D6"/>
    <w:rsid w:val="00E85F58"/>
    <w:rsid w:val="00E937F8"/>
    <w:rsid w:val="00E93BA2"/>
    <w:rsid w:val="00E96020"/>
    <w:rsid w:val="00EA196D"/>
    <w:rsid w:val="00EA6058"/>
    <w:rsid w:val="00EB0453"/>
    <w:rsid w:val="00ED255A"/>
    <w:rsid w:val="00ED28E3"/>
    <w:rsid w:val="00ED5B62"/>
    <w:rsid w:val="00ED6E9A"/>
    <w:rsid w:val="00ED7AD7"/>
    <w:rsid w:val="00EE27A7"/>
    <w:rsid w:val="00EE600A"/>
    <w:rsid w:val="00EE68A3"/>
    <w:rsid w:val="00EF0711"/>
    <w:rsid w:val="00EF18E3"/>
    <w:rsid w:val="00EF2917"/>
    <w:rsid w:val="00EF2F12"/>
    <w:rsid w:val="00EF3B49"/>
    <w:rsid w:val="00F00428"/>
    <w:rsid w:val="00F071BE"/>
    <w:rsid w:val="00F073DE"/>
    <w:rsid w:val="00F14A40"/>
    <w:rsid w:val="00F16BF3"/>
    <w:rsid w:val="00F24A2B"/>
    <w:rsid w:val="00F25E0A"/>
    <w:rsid w:val="00F270E0"/>
    <w:rsid w:val="00F301EA"/>
    <w:rsid w:val="00F30E11"/>
    <w:rsid w:val="00F31430"/>
    <w:rsid w:val="00F31C6D"/>
    <w:rsid w:val="00F32507"/>
    <w:rsid w:val="00F332B1"/>
    <w:rsid w:val="00F36473"/>
    <w:rsid w:val="00F42F4F"/>
    <w:rsid w:val="00F4621E"/>
    <w:rsid w:val="00F5031B"/>
    <w:rsid w:val="00F53A72"/>
    <w:rsid w:val="00F55456"/>
    <w:rsid w:val="00F615A0"/>
    <w:rsid w:val="00F62292"/>
    <w:rsid w:val="00F633BF"/>
    <w:rsid w:val="00F7080E"/>
    <w:rsid w:val="00F76935"/>
    <w:rsid w:val="00F9118B"/>
    <w:rsid w:val="00F91F02"/>
    <w:rsid w:val="00F92BD1"/>
    <w:rsid w:val="00F937F0"/>
    <w:rsid w:val="00F942FC"/>
    <w:rsid w:val="00F96E49"/>
    <w:rsid w:val="00FA3C57"/>
    <w:rsid w:val="00FA4FA3"/>
    <w:rsid w:val="00FA61B3"/>
    <w:rsid w:val="00FB33B1"/>
    <w:rsid w:val="00FB455B"/>
    <w:rsid w:val="00FB7A41"/>
    <w:rsid w:val="00FB7F60"/>
    <w:rsid w:val="00FC6B28"/>
    <w:rsid w:val="00FD5A5E"/>
    <w:rsid w:val="00FD5F04"/>
    <w:rsid w:val="00FD7F95"/>
    <w:rsid w:val="00FE4B5F"/>
    <w:rsid w:val="00FE5DB7"/>
    <w:rsid w:val="00FE65D0"/>
    <w:rsid w:val="00FF56FB"/>
    <w:rsid w:val="00FF7673"/>
    <w:rsid w:val="FFBFB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35"/>
    <w:pPr>
      <w:spacing w:line="560" w:lineRule="exact"/>
      <w:ind w:firstLine="200" w:firstLineChars="200"/>
    </w:pPr>
    <w:rPr>
      <w:rFonts w:ascii="Cambria" w:hAnsi="Cambria" w:eastAsia="黑体" w:cs="Times New Roman"/>
      <w:sz w:val="24"/>
      <w:szCs w:val="20"/>
    </w:rPr>
  </w:style>
  <w:style w:type="paragraph" w:styleId="3">
    <w:name w:val="annotation text"/>
    <w:basedOn w:val="1"/>
    <w:link w:val="32"/>
    <w:semiHidden/>
    <w:unhideWhenUsed/>
    <w:qFormat/>
    <w:uiPriority w:val="99"/>
    <w:pPr>
      <w:jc w:val="left"/>
    </w:pPr>
  </w:style>
  <w:style w:type="paragraph" w:styleId="4">
    <w:name w:val="Body Text"/>
    <w:basedOn w:val="1"/>
    <w:next w:val="5"/>
    <w:link w:val="30"/>
    <w:qFormat/>
    <w:uiPriority w:val="0"/>
    <w:pPr>
      <w:spacing w:after="120"/>
    </w:pPr>
    <w:rPr>
      <w:rFonts w:ascii="Calibri" w:hAnsi="Calibri" w:eastAsia="宋体" w:cs="Times New Roman"/>
      <w:szCs w:val="24"/>
    </w:rPr>
  </w:style>
  <w:style w:type="paragraph" w:styleId="5">
    <w:name w:val="Title"/>
    <w:basedOn w:val="1"/>
    <w:next w:val="1"/>
    <w:link w:val="25"/>
    <w:qFormat/>
    <w:uiPriority w:val="10"/>
    <w:pPr>
      <w:spacing w:before="240" w:after="60"/>
      <w:jc w:val="center"/>
      <w:outlineLvl w:val="0"/>
    </w:pPr>
    <w:rPr>
      <w:rFonts w:asciiTheme="majorHAnsi" w:hAnsiTheme="majorHAnsi" w:eastAsiaTheme="majorEastAsia" w:cstheme="majorBidi"/>
      <w:b/>
      <w:bCs/>
      <w:sz w:val="32"/>
      <w:szCs w:val="32"/>
    </w:rPr>
  </w:style>
  <w:style w:type="paragraph" w:styleId="6">
    <w:name w:val="endnote text"/>
    <w:basedOn w:val="1"/>
    <w:link w:val="21"/>
    <w:semiHidden/>
    <w:unhideWhenUsed/>
    <w:qFormat/>
    <w:uiPriority w:val="99"/>
    <w:pPr>
      <w:snapToGrid w:val="0"/>
      <w:jc w:val="left"/>
    </w:pPr>
  </w:style>
  <w:style w:type="paragraph" w:styleId="7">
    <w:name w:val="footer"/>
    <w:basedOn w:val="1"/>
    <w:link w:val="33"/>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jc w:val="center"/>
    </w:pPr>
    <w:rPr>
      <w:rFonts w:cs="Times New Roman"/>
      <w:sz w:val="36"/>
      <w:szCs w:val="40"/>
    </w:rPr>
  </w:style>
  <w:style w:type="paragraph" w:styleId="10">
    <w:name w:val="footnote text"/>
    <w:basedOn w:val="1"/>
    <w:link w:val="29"/>
    <w:semiHidden/>
    <w:unhideWhenUsed/>
    <w:qFormat/>
    <w:uiPriority w:val="99"/>
    <w:pPr>
      <w:snapToGrid w:val="0"/>
      <w:jc w:val="left"/>
    </w:pPr>
    <w:rPr>
      <w:sz w:val="18"/>
      <w:szCs w:val="1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rFonts w:cs="Times New Roman"/>
      <w:kern w:val="0"/>
      <w:sz w:val="24"/>
      <w:szCs w:val="24"/>
    </w:rPr>
  </w:style>
  <w:style w:type="paragraph" w:styleId="13">
    <w:name w:val="annotation subject"/>
    <w:basedOn w:val="3"/>
    <w:next w:val="3"/>
    <w:link w:val="31"/>
    <w:semiHidden/>
    <w:unhideWhenUsed/>
    <w:qFormat/>
    <w:uiPriority w:val="99"/>
    <w:rPr>
      <w:b/>
      <w:bCs/>
    </w:rPr>
  </w:style>
  <w:style w:type="table" w:styleId="15">
    <w:name w:val="Table Grid"/>
    <w:basedOn w:val="14"/>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endnote reference"/>
    <w:basedOn w:val="16"/>
    <w:semiHidden/>
    <w:unhideWhenUsed/>
    <w:qFormat/>
    <w:uiPriority w:val="99"/>
    <w:rPr>
      <w:vertAlign w:val="superscript"/>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styleId="20">
    <w:name w:val="footnote reference"/>
    <w:basedOn w:val="16"/>
    <w:semiHidden/>
    <w:unhideWhenUsed/>
    <w:qFormat/>
    <w:uiPriority w:val="99"/>
    <w:rPr>
      <w:vertAlign w:val="superscript"/>
    </w:rPr>
  </w:style>
  <w:style w:type="character" w:customStyle="1" w:styleId="21">
    <w:name w:val="尾注文本 字符"/>
    <w:basedOn w:val="16"/>
    <w:link w:val="6"/>
    <w:semiHidden/>
    <w:qFormat/>
    <w:uiPriority w:val="99"/>
  </w:style>
  <w:style w:type="paragraph" w:customStyle="1" w:styleId="22">
    <w:name w:val="本文正文"/>
    <w:basedOn w:val="1"/>
    <w:qFormat/>
    <w:uiPriority w:val="0"/>
    <w:rPr>
      <w:rFonts w:ascii="Times New Roman" w:hAnsi="Times New Roman" w:cs="Times New Roman"/>
      <w:szCs w:val="20"/>
    </w:rPr>
  </w:style>
  <w:style w:type="character" w:customStyle="1" w:styleId="23">
    <w:name w:val="页眉 字符"/>
    <w:basedOn w:val="16"/>
    <w:link w:val="8"/>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标题 字符"/>
    <w:basedOn w:val="16"/>
    <w:link w:val="5"/>
    <w:qFormat/>
    <w:uiPriority w:val="10"/>
    <w:rPr>
      <w:rFonts w:asciiTheme="majorHAnsi" w:hAnsiTheme="majorHAnsi" w:eastAsiaTheme="majorEastAsia" w:cstheme="majorBidi"/>
      <w:b/>
      <w:bCs/>
      <w:sz w:val="32"/>
      <w:szCs w:val="32"/>
    </w:rPr>
  </w:style>
  <w:style w:type="character" w:customStyle="1" w:styleId="26">
    <w:name w:val="报告正文 Char"/>
    <w:basedOn w:val="16"/>
    <w:link w:val="27"/>
    <w:qFormat/>
    <w:locked/>
    <w:uiPriority w:val="0"/>
    <w:rPr>
      <w:rFonts w:ascii="仿宋_GB2312" w:eastAsia="仿宋_GB2312"/>
      <w:sz w:val="32"/>
      <w:szCs w:val="28"/>
    </w:rPr>
  </w:style>
  <w:style w:type="paragraph" w:customStyle="1" w:styleId="27">
    <w:name w:val="报告正文"/>
    <w:basedOn w:val="1"/>
    <w:link w:val="26"/>
    <w:qFormat/>
    <w:uiPriority w:val="0"/>
    <w:pPr>
      <w:ind w:firstLine="200" w:firstLineChars="200"/>
    </w:pPr>
    <w:rPr>
      <w:rFonts w:ascii="仿宋_GB2312" w:eastAsia="仿宋_GB2312"/>
      <w:sz w:val="32"/>
      <w:szCs w:val="2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脚注文本 字符"/>
    <w:basedOn w:val="16"/>
    <w:link w:val="10"/>
    <w:semiHidden/>
    <w:qFormat/>
    <w:uiPriority w:val="99"/>
    <w:rPr>
      <w:sz w:val="18"/>
      <w:szCs w:val="18"/>
    </w:rPr>
  </w:style>
  <w:style w:type="character" w:customStyle="1" w:styleId="30">
    <w:name w:val="正文文本 字符"/>
    <w:basedOn w:val="16"/>
    <w:link w:val="4"/>
    <w:qFormat/>
    <w:uiPriority w:val="0"/>
    <w:rPr>
      <w:rFonts w:ascii="Calibri" w:hAnsi="Calibri" w:eastAsia="宋体" w:cs="Times New Roman"/>
      <w:szCs w:val="24"/>
    </w:rPr>
  </w:style>
  <w:style w:type="character" w:customStyle="1" w:styleId="31">
    <w:name w:val="批注主题 字符"/>
    <w:basedOn w:val="32"/>
    <w:link w:val="13"/>
    <w:semiHidden/>
    <w:qFormat/>
    <w:uiPriority w:val="99"/>
    <w:rPr>
      <w:b/>
      <w:bCs/>
    </w:rPr>
  </w:style>
  <w:style w:type="character" w:customStyle="1" w:styleId="32">
    <w:name w:val="批注文字 字符"/>
    <w:basedOn w:val="16"/>
    <w:link w:val="3"/>
    <w:semiHidden/>
    <w:qFormat/>
    <w:uiPriority w:val="99"/>
  </w:style>
  <w:style w:type="character" w:customStyle="1" w:styleId="33">
    <w:name w:val="页脚 字符"/>
    <w:basedOn w:val="16"/>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4720</Words>
  <Characters>26905</Characters>
  <Lines>224</Lines>
  <Paragraphs>63</Paragraphs>
  <TotalTime>71</TotalTime>
  <ScaleCrop>false</ScaleCrop>
  <LinksUpToDate>false</LinksUpToDate>
  <CharactersWithSpaces>31562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2026-01-16T18:55:00Z</dcterms:created>
  <dc:creator>uos</dc:creator>
  <cp:lastModifiedBy>uos</cp:lastModifiedBy>
  <cp:lastPrinted>2026-01-16T16:40:50Z</cp:lastPrinted>
  <dcterms:modified xsi:type="dcterms:W3CDTF">2026-01-16T17:11:37Z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