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both"/>
        <w:rPr>
          <w:rFonts w:hint="eastAsia" w:ascii="Times New Roman" w:hAnsi="Times New Roman" w:eastAsia="黑体"/>
          <w:sz w:val="44"/>
          <w:szCs w:val="44"/>
          <w:highlight w:val="none"/>
          <w:lang w:eastAsia="zh-CN"/>
        </w:rPr>
      </w:pPr>
      <w:bookmarkStart w:id="2" w:name="_GoBack"/>
      <w:bookmarkEnd w:id="2"/>
      <w:r>
        <w:rPr>
          <w:rFonts w:ascii="Times New Roman" w:hAnsi="黑体" w:eastAsia="黑体"/>
          <w:szCs w:val="32"/>
          <w:highlight w:val="none"/>
        </w:rPr>
        <w:t>附</w:t>
      </w:r>
      <w:r>
        <w:rPr>
          <w:rFonts w:ascii="黑体" w:hAnsi="黑体" w:eastAsia="黑体"/>
          <w:szCs w:val="32"/>
          <w:highlight w:val="none"/>
        </w:rPr>
        <w:t>件</w:t>
      </w:r>
      <w:r>
        <w:rPr>
          <w:rFonts w:hint="eastAsia" w:ascii="黑体" w:hAnsi="黑体" w:eastAsia="黑体"/>
          <w:szCs w:val="32"/>
          <w:highlight w:val="none"/>
          <w:lang w:val="en-US" w:eastAsia="zh-CN"/>
        </w:rPr>
        <w:t>3</w:t>
      </w:r>
    </w:p>
    <w:p>
      <w:pPr>
        <w:overflowPunct w:val="0"/>
        <w:spacing w:line="560" w:lineRule="exact"/>
        <w:jc w:val="both"/>
        <w:rPr>
          <w:rFonts w:ascii="Times New Roman" w:hAnsi="黑体" w:eastAsia="黑体"/>
          <w:szCs w:val="32"/>
          <w:highlight w:val="none"/>
        </w:rPr>
      </w:pPr>
    </w:p>
    <w:p>
      <w:pPr>
        <w:overflowPunct w:val="0"/>
        <w:spacing w:line="560" w:lineRule="exact"/>
        <w:jc w:val="center"/>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东莞市科研诚信管理办法</w:t>
      </w:r>
      <w:r>
        <w:rPr>
          <w:rFonts w:hint="eastAsia" w:ascii="Times New Roman" w:hAnsi="Times New Roman" w:eastAsia="方正小标宋简体"/>
          <w:sz w:val="44"/>
          <w:szCs w:val="44"/>
          <w:highlight w:val="none"/>
        </w:rPr>
        <w:t>（修订）</w:t>
      </w:r>
    </w:p>
    <w:p>
      <w:pPr>
        <w:overflowPunct w:val="0"/>
        <w:spacing w:line="560" w:lineRule="exact"/>
        <w:jc w:val="center"/>
        <w:rPr>
          <w:rFonts w:hint="eastAsia" w:ascii="Times New Roman" w:hAnsi="Times New Roman" w:eastAsia="方正小标宋简体"/>
          <w:sz w:val="44"/>
          <w:szCs w:val="44"/>
          <w:highlight w:val="none"/>
        </w:rPr>
      </w:pPr>
      <w:r>
        <w:rPr>
          <w:rFonts w:hint="eastAsia" w:ascii="Times New Roman" w:hAnsi="Times New Roman" w:eastAsia="楷体_GB2312"/>
          <w:spacing w:val="20"/>
          <w:highlight w:val="none"/>
        </w:rPr>
        <w:t>（征求意见稿）</w:t>
      </w:r>
    </w:p>
    <w:p>
      <w:pPr>
        <w:overflowPunct w:val="0"/>
        <w:spacing w:line="560" w:lineRule="exact"/>
        <w:jc w:val="center"/>
        <w:rPr>
          <w:rFonts w:ascii="Times New Roman" w:hAnsi="Times New Roman" w:eastAsia="方正小标宋简体"/>
          <w:b/>
          <w:bCs/>
          <w:sz w:val="44"/>
          <w:szCs w:val="44"/>
          <w:highlight w:val="none"/>
        </w:rPr>
      </w:pPr>
    </w:p>
    <w:p>
      <w:pPr>
        <w:numPr>
          <w:ilvl w:val="0"/>
          <w:numId w:val="1"/>
        </w:numPr>
        <w:overflowPunct w:val="0"/>
        <w:spacing w:line="560" w:lineRule="exact"/>
        <w:jc w:val="center"/>
        <w:rPr>
          <w:rFonts w:ascii="Times New Roman" w:hAnsi="Times New Roman" w:eastAsia="黑体"/>
          <w:szCs w:val="32"/>
          <w:highlight w:val="none"/>
        </w:rPr>
      </w:pPr>
      <w:r>
        <w:rPr>
          <w:rFonts w:ascii="Times New Roman" w:hAnsi="Times New Roman" w:eastAsia="黑体"/>
          <w:szCs w:val="32"/>
          <w:highlight w:val="none"/>
        </w:rPr>
        <w:t>总  则</w:t>
      </w:r>
    </w:p>
    <w:p>
      <w:pPr>
        <w:pStyle w:val="11"/>
        <w:widowControl w:val="0"/>
        <w:numPr>
          <w:ilvl w:val="0"/>
          <w:numId w:val="2"/>
        </w:numPr>
        <w:tabs>
          <w:tab w:val="left" w:pos="202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为</w:t>
      </w:r>
      <w:r>
        <w:rPr>
          <w:rFonts w:hint="eastAsia" w:ascii="Times New Roman" w:hAnsi="Times New Roman"/>
          <w:kern w:val="2"/>
          <w:sz w:val="32"/>
          <w:szCs w:val="32"/>
          <w:highlight w:val="none"/>
        </w:rPr>
        <w:t>进一步加强科研诚信建设，规范科技计划项目诚信管理，</w:t>
      </w:r>
      <w:r>
        <w:rPr>
          <w:rFonts w:ascii="Times New Roman" w:hAnsi="Times New Roman"/>
          <w:kern w:val="2"/>
          <w:sz w:val="32"/>
          <w:szCs w:val="32"/>
          <w:highlight w:val="none"/>
        </w:rPr>
        <w:t>营造良好科研创新生态，根据</w:t>
      </w:r>
      <w:r>
        <w:rPr>
          <w:rFonts w:hint="eastAsia" w:ascii="Times New Roman" w:hAnsi="Times New Roman"/>
          <w:kern w:val="2"/>
          <w:sz w:val="32"/>
          <w:szCs w:val="32"/>
          <w:highlight w:val="none"/>
        </w:rPr>
        <w:t>《中华人民共和国科学技术进步法》《关于进一步加强科研诚信建设的若干意见》（厅字〔2018〕23号）、《科研失信行为调查处理规则》（国科发监〔2022〕221号）、《广东省社会信用条例》《广东省科学技术厅科技计划项目科研诚信管理办法》（粤科规范字〔2024〕2号）、《关于加快推动社会信用体系建设高质量发展 促进信用服务实体经济的实施方案》（东府办〔2024〕6号）</w:t>
      </w:r>
      <w:r>
        <w:rPr>
          <w:rFonts w:ascii="Times New Roman" w:hAnsi="Times New Roman"/>
          <w:kern w:val="2"/>
          <w:sz w:val="32"/>
          <w:szCs w:val="32"/>
          <w:highlight w:val="none"/>
        </w:rPr>
        <w:t>等</w:t>
      </w:r>
      <w:r>
        <w:rPr>
          <w:rFonts w:hint="eastAsia" w:ascii="Times New Roman" w:hAnsi="Times New Roman"/>
          <w:kern w:val="2"/>
          <w:sz w:val="32"/>
          <w:szCs w:val="32"/>
          <w:highlight w:val="none"/>
        </w:rPr>
        <w:t>文件</w:t>
      </w:r>
      <w:r>
        <w:rPr>
          <w:rFonts w:ascii="Times New Roman" w:hAnsi="Times New Roman"/>
          <w:kern w:val="2"/>
          <w:sz w:val="32"/>
          <w:szCs w:val="32"/>
          <w:highlight w:val="none"/>
        </w:rPr>
        <w:t>，结合</w:t>
      </w:r>
      <w:r>
        <w:rPr>
          <w:rFonts w:hint="eastAsia" w:ascii="Times New Roman" w:hAnsi="Times New Roman"/>
          <w:kern w:val="2"/>
          <w:sz w:val="32"/>
          <w:szCs w:val="32"/>
          <w:highlight w:val="none"/>
        </w:rPr>
        <w:t>本市</w:t>
      </w:r>
      <w:r>
        <w:rPr>
          <w:rFonts w:ascii="Times New Roman" w:hAnsi="Times New Roman"/>
          <w:kern w:val="2"/>
          <w:sz w:val="32"/>
          <w:szCs w:val="32"/>
          <w:highlight w:val="none"/>
        </w:rPr>
        <w:t>实际，制定本办法。</w:t>
      </w:r>
    </w:p>
    <w:p>
      <w:pPr>
        <w:pStyle w:val="11"/>
        <w:widowControl w:val="0"/>
        <w:numPr>
          <w:ilvl w:val="0"/>
          <w:numId w:val="2"/>
        </w:numPr>
        <w:tabs>
          <w:tab w:val="left" w:pos="202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本办法所称科研诚信管理，是指对</w:t>
      </w:r>
      <w:r>
        <w:rPr>
          <w:rFonts w:hint="eastAsia" w:ascii="Times New Roman" w:hAnsi="Times New Roman"/>
          <w:kern w:val="2"/>
          <w:sz w:val="32"/>
          <w:szCs w:val="32"/>
          <w:highlight w:val="none"/>
        </w:rPr>
        <w:t>参与本市科技行政主管部门（以下简称主管部门）</w:t>
      </w:r>
      <w:r>
        <w:rPr>
          <w:rFonts w:ascii="Times New Roman" w:hAnsi="Times New Roman"/>
          <w:kern w:val="2"/>
          <w:sz w:val="32"/>
          <w:szCs w:val="32"/>
          <w:highlight w:val="none"/>
        </w:rPr>
        <w:t>组织的科研活动事项的</w:t>
      </w:r>
      <w:r>
        <w:rPr>
          <w:rFonts w:hint="eastAsia" w:ascii="Times New Roman" w:hAnsi="Times New Roman"/>
          <w:kern w:val="2"/>
          <w:sz w:val="32"/>
          <w:szCs w:val="32"/>
          <w:highlight w:val="none"/>
        </w:rPr>
        <w:t>项目单位、项目人员、咨询评审专家、第三方科学技术服务机构及其工作人员</w:t>
      </w:r>
      <w:r>
        <w:rPr>
          <w:rFonts w:ascii="Times New Roman" w:hAnsi="Times New Roman"/>
          <w:kern w:val="2"/>
          <w:sz w:val="32"/>
          <w:szCs w:val="32"/>
          <w:highlight w:val="none"/>
        </w:rPr>
        <w:t>等责任主体</w:t>
      </w:r>
      <w:r>
        <w:rPr>
          <w:rFonts w:hint="eastAsia" w:ascii="Times New Roman" w:hAnsi="Times New Roman"/>
          <w:kern w:val="2"/>
          <w:sz w:val="32"/>
          <w:szCs w:val="32"/>
          <w:highlight w:val="none"/>
        </w:rPr>
        <w:t>，在项目指南编制、申报、评审、立项、实施、验收、监督检查和评估评价等全流程活动中，遵守科学研究行为准则与规范、财政科研项目资金管理要求，履行约定义务等诚信状况，进行认定和管理</w:t>
      </w:r>
      <w:r>
        <w:rPr>
          <w:rFonts w:ascii="Times New Roman" w:hAnsi="Times New Roman"/>
          <w:kern w:val="2"/>
          <w:sz w:val="32"/>
          <w:szCs w:val="32"/>
          <w:highlight w:val="none"/>
        </w:rPr>
        <w:t>。</w:t>
      </w:r>
    </w:p>
    <w:p>
      <w:pPr>
        <w:pStyle w:val="11"/>
        <w:widowControl w:val="0"/>
        <w:overflowPunct w:val="0"/>
        <w:spacing w:beforeAutospacing="0" w:afterAutospacing="0" w:line="560" w:lineRule="exact"/>
        <w:ind w:firstLine="672" w:firstLineChars="200"/>
        <w:jc w:val="both"/>
        <w:rPr>
          <w:rFonts w:ascii="Times New Roman" w:hAnsi="Times New Roman"/>
          <w:kern w:val="2"/>
          <w:sz w:val="32"/>
          <w:szCs w:val="32"/>
          <w:highlight w:val="none"/>
        </w:rPr>
      </w:pPr>
      <w:r>
        <w:rPr>
          <w:rFonts w:hint="eastAsia" w:ascii="Times New Roman" w:hAnsi="Times New Roman"/>
          <w:kern w:val="2"/>
          <w:sz w:val="32"/>
          <w:szCs w:val="32"/>
          <w:highlight w:val="none"/>
        </w:rPr>
        <w:t>中央和省级财政资金资助的科研项目在本市实施的，以及中央和省委托本市执行的科技项目，按照上级管理规定执行，如无科研诚信相关规定的，参照本办法执行。</w:t>
      </w:r>
    </w:p>
    <w:p>
      <w:pPr>
        <w:pStyle w:val="4"/>
        <w:overflowPunct w:val="0"/>
        <w:spacing w:line="560" w:lineRule="exact"/>
        <w:ind w:right="0" w:rightChars="0" w:firstLine="720" w:firstLineChars="200"/>
        <w:rPr>
          <w:rFonts w:ascii="Times New Roman" w:hAnsi="Times New Roman"/>
          <w:spacing w:val="20"/>
          <w:sz w:val="32"/>
          <w:szCs w:val="32"/>
          <w:highlight w:val="none"/>
        </w:rPr>
      </w:pPr>
      <w:r>
        <w:rPr>
          <w:rFonts w:hint="eastAsia" w:ascii="Times New Roman" w:hAnsi="Times New Roman"/>
          <w:spacing w:val="20"/>
          <w:sz w:val="32"/>
          <w:szCs w:val="32"/>
          <w:highlight w:val="none"/>
        </w:rPr>
        <w:t>本办法所称</w:t>
      </w:r>
      <w:r>
        <w:rPr>
          <w:rFonts w:ascii="Times New Roman" w:hAnsi="Times New Roman"/>
          <w:spacing w:val="20"/>
          <w:sz w:val="32"/>
          <w:szCs w:val="32"/>
          <w:highlight w:val="none"/>
        </w:rPr>
        <w:t>项目单位</w:t>
      </w:r>
      <w:r>
        <w:rPr>
          <w:rFonts w:hint="eastAsia" w:ascii="Times New Roman" w:hAnsi="Times New Roman"/>
          <w:spacing w:val="20"/>
          <w:sz w:val="32"/>
          <w:szCs w:val="32"/>
          <w:highlight w:val="none"/>
        </w:rPr>
        <w:t>，</w:t>
      </w:r>
      <w:r>
        <w:rPr>
          <w:rFonts w:ascii="Times New Roman" w:hAnsi="Times New Roman"/>
          <w:spacing w:val="20"/>
          <w:sz w:val="32"/>
          <w:szCs w:val="32"/>
          <w:highlight w:val="none"/>
        </w:rPr>
        <w:t>是指申报或实施</w:t>
      </w:r>
      <w:r>
        <w:rPr>
          <w:rFonts w:hint="eastAsia" w:ascii="Times New Roman" w:hAnsi="Times New Roman"/>
          <w:spacing w:val="20"/>
          <w:sz w:val="32"/>
          <w:szCs w:val="32"/>
          <w:highlight w:val="none"/>
        </w:rPr>
        <w:t>科研活动事项</w:t>
      </w:r>
      <w:r>
        <w:rPr>
          <w:rFonts w:ascii="Times New Roman" w:hAnsi="Times New Roman"/>
          <w:spacing w:val="20"/>
          <w:sz w:val="32"/>
          <w:szCs w:val="32"/>
          <w:highlight w:val="none"/>
        </w:rPr>
        <w:t>的企业、科研院所、高等学校、其他事业单位和行业组织等，包括项目承担（或申报）单位及项目参与单位。</w:t>
      </w:r>
    </w:p>
    <w:p>
      <w:pPr>
        <w:pStyle w:val="4"/>
        <w:overflowPunct w:val="0"/>
        <w:spacing w:line="560" w:lineRule="exact"/>
        <w:ind w:right="0" w:rightChars="0" w:firstLine="720" w:firstLineChars="200"/>
        <w:rPr>
          <w:rFonts w:ascii="Times New Roman" w:hAnsi="Times New Roman"/>
          <w:spacing w:val="20"/>
          <w:sz w:val="32"/>
          <w:szCs w:val="32"/>
          <w:highlight w:val="none"/>
        </w:rPr>
      </w:pPr>
      <w:r>
        <w:rPr>
          <w:rFonts w:hint="eastAsia" w:ascii="Times New Roman" w:hAnsi="Times New Roman"/>
          <w:spacing w:val="20"/>
          <w:sz w:val="32"/>
          <w:szCs w:val="32"/>
          <w:highlight w:val="none"/>
        </w:rPr>
        <w:t>本办法所称</w:t>
      </w:r>
      <w:r>
        <w:rPr>
          <w:rFonts w:ascii="Times New Roman" w:hAnsi="Times New Roman"/>
          <w:spacing w:val="20"/>
          <w:sz w:val="32"/>
          <w:szCs w:val="32"/>
          <w:highlight w:val="none"/>
        </w:rPr>
        <w:t>项目人员</w:t>
      </w:r>
      <w:r>
        <w:rPr>
          <w:rFonts w:hint="eastAsia" w:ascii="Times New Roman" w:hAnsi="Times New Roman"/>
          <w:spacing w:val="20"/>
          <w:sz w:val="32"/>
          <w:szCs w:val="32"/>
          <w:highlight w:val="none"/>
        </w:rPr>
        <w:t>，</w:t>
      </w:r>
      <w:r>
        <w:rPr>
          <w:rFonts w:ascii="Times New Roman" w:hAnsi="Times New Roman"/>
          <w:spacing w:val="20"/>
          <w:sz w:val="32"/>
          <w:szCs w:val="32"/>
          <w:highlight w:val="none"/>
        </w:rPr>
        <w:t>是指申报、承担或参与</w:t>
      </w:r>
      <w:r>
        <w:rPr>
          <w:rFonts w:hint="eastAsia" w:ascii="Times New Roman" w:hAnsi="Times New Roman"/>
          <w:spacing w:val="20"/>
          <w:sz w:val="32"/>
          <w:szCs w:val="32"/>
          <w:highlight w:val="none"/>
        </w:rPr>
        <w:t>科研活动事项</w:t>
      </w:r>
      <w:r>
        <w:rPr>
          <w:rFonts w:ascii="Times New Roman" w:hAnsi="Times New Roman"/>
          <w:spacing w:val="20"/>
          <w:sz w:val="32"/>
          <w:szCs w:val="32"/>
          <w:highlight w:val="none"/>
        </w:rPr>
        <w:t>实施的人员，包括项目负责人及项目组成员</w:t>
      </w:r>
      <w:r>
        <w:rPr>
          <w:rFonts w:hint="eastAsia" w:ascii="Times New Roman" w:hAnsi="Times New Roman"/>
          <w:spacing w:val="20"/>
          <w:sz w:val="32"/>
          <w:szCs w:val="32"/>
          <w:highlight w:val="none"/>
        </w:rPr>
        <w:t>或与项目相关的其他人员</w:t>
      </w:r>
      <w:r>
        <w:rPr>
          <w:rFonts w:ascii="Times New Roman" w:hAnsi="Times New Roman"/>
          <w:spacing w:val="20"/>
          <w:sz w:val="32"/>
          <w:szCs w:val="32"/>
          <w:highlight w:val="none"/>
        </w:rPr>
        <w:t>。</w:t>
      </w:r>
    </w:p>
    <w:p>
      <w:pPr>
        <w:pStyle w:val="4"/>
        <w:overflowPunct w:val="0"/>
        <w:spacing w:line="560" w:lineRule="exact"/>
        <w:ind w:right="0" w:rightChars="0" w:firstLine="720" w:firstLineChars="200"/>
        <w:rPr>
          <w:rFonts w:ascii="Times New Roman" w:hAnsi="Times New Roman"/>
          <w:spacing w:val="20"/>
          <w:sz w:val="32"/>
          <w:szCs w:val="32"/>
          <w:highlight w:val="none"/>
        </w:rPr>
      </w:pPr>
      <w:r>
        <w:rPr>
          <w:rFonts w:hint="eastAsia" w:ascii="Times New Roman" w:hAnsi="Times New Roman"/>
          <w:spacing w:val="20"/>
          <w:sz w:val="32"/>
          <w:szCs w:val="32"/>
          <w:highlight w:val="none"/>
        </w:rPr>
        <w:t>本办法所称</w:t>
      </w:r>
      <w:r>
        <w:rPr>
          <w:rFonts w:ascii="Times New Roman" w:hAnsi="Times New Roman"/>
          <w:spacing w:val="20"/>
          <w:sz w:val="32"/>
          <w:szCs w:val="32"/>
          <w:highlight w:val="none"/>
        </w:rPr>
        <w:t>咨询评审专家</w:t>
      </w:r>
      <w:r>
        <w:rPr>
          <w:rFonts w:hint="eastAsia" w:ascii="Times New Roman" w:hAnsi="Times New Roman"/>
          <w:spacing w:val="20"/>
          <w:sz w:val="32"/>
          <w:szCs w:val="32"/>
          <w:highlight w:val="none"/>
        </w:rPr>
        <w:t>，</w:t>
      </w:r>
      <w:r>
        <w:rPr>
          <w:rFonts w:ascii="Times New Roman" w:hAnsi="Times New Roman"/>
          <w:spacing w:val="20"/>
          <w:sz w:val="32"/>
          <w:szCs w:val="32"/>
          <w:highlight w:val="none"/>
        </w:rPr>
        <w:t>是指为项目提供咨询评审、监督检查、评估评价等意见的专业人员。</w:t>
      </w:r>
    </w:p>
    <w:p>
      <w:pPr>
        <w:pStyle w:val="4"/>
        <w:overflowPunct w:val="0"/>
        <w:spacing w:line="560" w:lineRule="exact"/>
        <w:ind w:right="0" w:rightChars="0" w:firstLine="720" w:firstLineChars="200"/>
        <w:rPr>
          <w:rFonts w:ascii="Times New Roman" w:hAnsi="Times New Roman"/>
          <w:spacing w:val="20"/>
          <w:sz w:val="32"/>
          <w:szCs w:val="32"/>
          <w:highlight w:val="none"/>
        </w:rPr>
      </w:pPr>
      <w:r>
        <w:rPr>
          <w:rFonts w:hint="eastAsia" w:ascii="Times New Roman" w:hAnsi="Times New Roman"/>
          <w:spacing w:val="20"/>
          <w:sz w:val="32"/>
          <w:szCs w:val="32"/>
          <w:highlight w:val="none"/>
        </w:rPr>
        <w:t>本办法所称</w:t>
      </w:r>
      <w:r>
        <w:rPr>
          <w:rFonts w:ascii="Times New Roman" w:hAnsi="Times New Roman"/>
          <w:spacing w:val="20"/>
          <w:sz w:val="32"/>
          <w:szCs w:val="32"/>
          <w:highlight w:val="none"/>
        </w:rPr>
        <w:t>第三方科学技术服务机构及其工作人员</w:t>
      </w:r>
      <w:r>
        <w:rPr>
          <w:rFonts w:hint="eastAsia" w:ascii="Times New Roman" w:hAnsi="Times New Roman"/>
          <w:spacing w:val="20"/>
          <w:sz w:val="32"/>
          <w:szCs w:val="32"/>
          <w:highlight w:val="none"/>
        </w:rPr>
        <w:t>，</w:t>
      </w:r>
      <w:r>
        <w:rPr>
          <w:rFonts w:ascii="Times New Roman" w:hAnsi="Times New Roman"/>
          <w:spacing w:val="20"/>
          <w:sz w:val="32"/>
          <w:szCs w:val="32"/>
          <w:highlight w:val="none"/>
        </w:rPr>
        <w:t>是指为项目提供</w:t>
      </w:r>
      <w:r>
        <w:rPr>
          <w:rFonts w:hint="eastAsia" w:ascii="Times New Roman" w:hAnsi="Times New Roman"/>
          <w:spacing w:val="20"/>
          <w:sz w:val="32"/>
          <w:szCs w:val="32"/>
          <w:highlight w:val="none"/>
        </w:rPr>
        <w:t>审计、咨询、绩效评估评价、经纪、知识产权代理、检验检测、出版、技术转移、科技金融等服务</w:t>
      </w:r>
      <w:r>
        <w:rPr>
          <w:rFonts w:hint="eastAsia" w:ascii="Times New Roman" w:hAnsi="Times New Roman"/>
          <w:spacing w:val="20"/>
          <w:sz w:val="32"/>
          <w:szCs w:val="32"/>
          <w:highlight w:val="none"/>
          <w:lang w:eastAsia="zh-CN"/>
        </w:rPr>
        <w:t>或</w:t>
      </w:r>
      <w:r>
        <w:rPr>
          <w:rFonts w:hint="eastAsia" w:ascii="Times New Roman" w:hAnsi="Times New Roman"/>
          <w:spacing w:val="20"/>
          <w:sz w:val="32"/>
          <w:szCs w:val="32"/>
          <w:highlight w:val="none"/>
        </w:rPr>
        <w:t>受科技主管部门委托开展相关科学技术活动管理</w:t>
      </w:r>
      <w:r>
        <w:rPr>
          <w:rFonts w:hint="eastAsia" w:ascii="Times New Roman" w:hAnsi="Times New Roman"/>
          <w:spacing w:val="20"/>
          <w:sz w:val="32"/>
          <w:szCs w:val="32"/>
          <w:highlight w:val="none"/>
          <w:lang w:eastAsia="zh-CN"/>
        </w:rPr>
        <w:t>、监理、审核等</w:t>
      </w:r>
      <w:r>
        <w:rPr>
          <w:rFonts w:hint="eastAsia" w:ascii="Times New Roman" w:hAnsi="Times New Roman"/>
          <w:spacing w:val="20"/>
          <w:sz w:val="32"/>
          <w:szCs w:val="32"/>
          <w:highlight w:val="none"/>
        </w:rPr>
        <w:t>工作</w:t>
      </w:r>
      <w:r>
        <w:rPr>
          <w:rFonts w:ascii="Times New Roman" w:hAnsi="Times New Roman"/>
          <w:spacing w:val="20"/>
          <w:sz w:val="32"/>
          <w:szCs w:val="32"/>
          <w:highlight w:val="none"/>
        </w:rPr>
        <w:t>的第三方机构及其工作人员。</w:t>
      </w:r>
    </w:p>
    <w:p>
      <w:pPr>
        <w:pStyle w:val="11"/>
        <w:widowControl w:val="0"/>
        <w:numPr>
          <w:ilvl w:val="0"/>
          <w:numId w:val="2"/>
        </w:numPr>
        <w:tabs>
          <w:tab w:val="left" w:pos="2016"/>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科研诚信管理依据科技计划、奖励等创新活动相关管理制度与政策法规，以及申报材料、</w:t>
      </w:r>
      <w:r>
        <w:rPr>
          <w:rFonts w:ascii="Times New Roman" w:hAnsi="Times New Roman"/>
          <w:sz w:val="32"/>
          <w:szCs w:val="32"/>
          <w:highlight w:val="none"/>
        </w:rPr>
        <w:t>任务书</w:t>
      </w:r>
      <w:r>
        <w:rPr>
          <w:rFonts w:hint="eastAsia" w:ascii="Times New Roman" w:hAnsi="Times New Roman"/>
          <w:sz w:val="32"/>
          <w:szCs w:val="32"/>
          <w:highlight w:val="none"/>
        </w:rPr>
        <w:t>（合同书）</w:t>
      </w:r>
      <w:r>
        <w:rPr>
          <w:rFonts w:ascii="Times New Roman" w:hAnsi="Times New Roman"/>
          <w:kern w:val="2"/>
          <w:sz w:val="32"/>
          <w:szCs w:val="32"/>
          <w:highlight w:val="none"/>
        </w:rPr>
        <w:t>、承诺书、评估评价、科技报告、审计报告、验收结论、调查结果等实施全覆盖、全过程管理。</w:t>
      </w:r>
    </w:p>
    <w:p>
      <w:pPr>
        <w:pStyle w:val="11"/>
        <w:widowControl w:val="0"/>
        <w:numPr>
          <w:ilvl w:val="0"/>
          <w:numId w:val="2"/>
        </w:numPr>
        <w:tabs>
          <w:tab w:val="left" w:pos="2016"/>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科研诚信管理遵循</w:t>
      </w:r>
      <w:r>
        <w:rPr>
          <w:rFonts w:hint="eastAsia" w:ascii="Times New Roman" w:hAnsi="Times New Roman"/>
          <w:kern w:val="2"/>
          <w:sz w:val="32"/>
          <w:szCs w:val="32"/>
          <w:highlight w:val="none"/>
        </w:rPr>
        <w:t>科学规范、客观公正、激励创新、宽容失败、奖惩并举、协同共治</w:t>
      </w:r>
      <w:r>
        <w:rPr>
          <w:rFonts w:ascii="Times New Roman" w:hAnsi="Times New Roman"/>
          <w:kern w:val="2"/>
          <w:sz w:val="32"/>
          <w:szCs w:val="32"/>
          <w:highlight w:val="none"/>
        </w:rPr>
        <w:t>的原则</w:t>
      </w:r>
      <w:r>
        <w:rPr>
          <w:rFonts w:hint="eastAsia" w:ascii="Times New Roman" w:hAnsi="Times New Roman"/>
          <w:kern w:val="2"/>
          <w:sz w:val="32"/>
          <w:szCs w:val="32"/>
          <w:highlight w:val="none"/>
        </w:rPr>
        <w:t>，落实分级负责、逐级压实，职责清晰、协调有序的管理要求</w:t>
      </w:r>
      <w:r>
        <w:rPr>
          <w:rFonts w:ascii="Times New Roman" w:hAnsi="Times New Roman"/>
          <w:kern w:val="2"/>
          <w:sz w:val="32"/>
          <w:szCs w:val="32"/>
          <w:highlight w:val="none"/>
        </w:rPr>
        <w:t>。</w:t>
      </w:r>
    </w:p>
    <w:p>
      <w:pPr>
        <w:pStyle w:val="11"/>
        <w:widowControl w:val="0"/>
        <w:overflowPunct w:val="0"/>
        <w:spacing w:beforeAutospacing="0" w:afterAutospacing="0" w:line="560" w:lineRule="exact"/>
        <w:ind w:firstLine="640"/>
        <w:rPr>
          <w:rFonts w:ascii="Times New Roman" w:hAnsi="Times New Roman"/>
          <w:kern w:val="2"/>
          <w:sz w:val="32"/>
          <w:szCs w:val="32"/>
          <w:highlight w:val="none"/>
        </w:rPr>
      </w:pPr>
    </w:p>
    <w:p>
      <w:pPr>
        <w:numPr>
          <w:ilvl w:val="0"/>
          <w:numId w:val="1"/>
        </w:numPr>
        <w:overflowPunct w:val="0"/>
        <w:spacing w:line="560" w:lineRule="exact"/>
        <w:jc w:val="center"/>
        <w:rPr>
          <w:rFonts w:ascii="Times New Roman" w:hAnsi="Times New Roman" w:eastAsia="黑体"/>
          <w:szCs w:val="32"/>
          <w:highlight w:val="none"/>
        </w:rPr>
      </w:pPr>
      <w:r>
        <w:rPr>
          <w:rFonts w:ascii="Times New Roman" w:hAnsi="Times New Roman" w:eastAsia="黑体"/>
          <w:szCs w:val="32"/>
          <w:highlight w:val="none"/>
        </w:rPr>
        <w:t>管理职责</w:t>
      </w:r>
    </w:p>
    <w:p>
      <w:pPr>
        <w:pStyle w:val="11"/>
        <w:widowControl w:val="0"/>
        <w:numPr>
          <w:ilvl w:val="0"/>
          <w:numId w:val="2"/>
        </w:numPr>
        <w:tabs>
          <w:tab w:val="left" w:pos="2016"/>
        </w:tabs>
        <w:overflowPunct w:val="0"/>
        <w:spacing w:beforeAutospacing="0" w:afterAutospacing="0" w:line="560" w:lineRule="exact"/>
        <w:ind w:left="0" w:firstLine="672" w:firstLineChars="200"/>
        <w:jc w:val="both"/>
        <w:rPr>
          <w:rFonts w:ascii="Times New Roman" w:hAnsi="Times New Roman" w:eastAsia="黑体"/>
          <w:sz w:val="32"/>
          <w:szCs w:val="32"/>
          <w:highlight w:val="none"/>
        </w:rPr>
      </w:pPr>
      <w:r>
        <w:rPr>
          <w:rFonts w:ascii="Times New Roman" w:hAnsi="Times New Roman"/>
          <w:sz w:val="32"/>
          <w:szCs w:val="32"/>
          <w:highlight w:val="none"/>
        </w:rPr>
        <w:t>东莞市</w:t>
      </w:r>
      <w:r>
        <w:rPr>
          <w:rFonts w:hint="eastAsia" w:ascii="Times New Roman" w:hAnsi="Times New Roman"/>
          <w:sz w:val="32"/>
          <w:szCs w:val="32"/>
          <w:highlight w:val="none"/>
        </w:rPr>
        <w:t>科学技术局（以下简称“市科技局”）</w:t>
      </w:r>
      <w:r>
        <w:rPr>
          <w:rFonts w:ascii="Times New Roman" w:hAnsi="Times New Roman"/>
          <w:sz w:val="32"/>
          <w:szCs w:val="32"/>
          <w:highlight w:val="none"/>
        </w:rPr>
        <w:t>负责科研诚信管理工作，指导相关责任主体开展科研诚信管理工作；收集和记录相关责任主体的科研信用情况，开展</w:t>
      </w:r>
      <w:r>
        <w:rPr>
          <w:rFonts w:hint="eastAsia" w:ascii="Times New Roman" w:hAnsi="Times New Roman"/>
          <w:sz w:val="32"/>
          <w:szCs w:val="32"/>
          <w:highlight w:val="none"/>
        </w:rPr>
        <w:t>诚信审核</w:t>
      </w:r>
      <w:r>
        <w:rPr>
          <w:rFonts w:ascii="Times New Roman" w:hAnsi="Times New Roman"/>
          <w:sz w:val="32"/>
          <w:szCs w:val="32"/>
          <w:highlight w:val="none"/>
        </w:rPr>
        <w:t>及结果应用；对科研诚信案件开展调查，</w:t>
      </w:r>
      <w:r>
        <w:rPr>
          <w:rFonts w:hint="eastAsia" w:ascii="Times New Roman" w:hAnsi="Times New Roman"/>
          <w:sz w:val="32"/>
          <w:szCs w:val="32"/>
          <w:highlight w:val="none"/>
        </w:rPr>
        <w:t>做好科研失信行为数据的信息汇集、汇交报送、信用修复、联合惩戒等工作</w:t>
      </w:r>
      <w:r>
        <w:rPr>
          <w:rFonts w:ascii="Times New Roman" w:hAnsi="Times New Roman"/>
          <w:sz w:val="32"/>
          <w:szCs w:val="32"/>
          <w:highlight w:val="none"/>
        </w:rPr>
        <w:t>。</w:t>
      </w:r>
    </w:p>
    <w:p>
      <w:pPr>
        <w:pStyle w:val="11"/>
        <w:widowControl w:val="0"/>
        <w:numPr>
          <w:ilvl w:val="0"/>
          <w:numId w:val="2"/>
        </w:numPr>
        <w:tabs>
          <w:tab w:val="left" w:pos="2016"/>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hint="eastAsia" w:ascii="Times New Roman" w:hAnsi="Times New Roman"/>
          <w:kern w:val="2"/>
          <w:sz w:val="32"/>
          <w:szCs w:val="32"/>
          <w:highlight w:val="none"/>
        </w:rPr>
        <w:t>各镇街（园区）</w:t>
      </w:r>
      <w:r>
        <w:rPr>
          <w:rFonts w:ascii="Times New Roman" w:hAnsi="Times New Roman"/>
          <w:kern w:val="2"/>
          <w:sz w:val="32"/>
          <w:szCs w:val="32"/>
          <w:highlight w:val="none"/>
        </w:rPr>
        <w:t>科技主管部门负责推进本行政区</w:t>
      </w:r>
      <w:bookmarkStart w:id="0" w:name="_Hlk201651122"/>
      <w:r>
        <w:rPr>
          <w:rFonts w:ascii="Times New Roman" w:hAnsi="Times New Roman"/>
          <w:kern w:val="2"/>
          <w:sz w:val="32"/>
          <w:szCs w:val="32"/>
          <w:highlight w:val="none"/>
        </w:rPr>
        <w:t>域</w:t>
      </w:r>
      <w:bookmarkEnd w:id="0"/>
      <w:r>
        <w:rPr>
          <w:rFonts w:ascii="Times New Roman" w:hAnsi="Times New Roman"/>
          <w:kern w:val="2"/>
          <w:sz w:val="32"/>
          <w:szCs w:val="32"/>
          <w:highlight w:val="none"/>
        </w:rPr>
        <w:t>科研诚信建设，履行本级科研诚信管理职责，加强宣传教育和监督引导，协调配合上级部门开展案件查处和联合惩戒工作。</w:t>
      </w:r>
    </w:p>
    <w:p>
      <w:pPr>
        <w:pStyle w:val="11"/>
        <w:widowControl w:val="0"/>
        <w:numPr>
          <w:ilvl w:val="0"/>
          <w:numId w:val="2"/>
        </w:numPr>
        <w:tabs>
          <w:tab w:val="left" w:pos="2016"/>
        </w:tabs>
        <w:overflowPunct w:val="0"/>
        <w:spacing w:beforeAutospacing="0" w:afterAutospacing="0" w:line="560" w:lineRule="exact"/>
        <w:ind w:left="0" w:firstLine="672" w:firstLineChars="200"/>
        <w:jc w:val="both"/>
        <w:rPr>
          <w:rFonts w:hint="eastAsia" w:ascii="黑体" w:hAnsi="黑体" w:eastAsia="黑体" w:cs="黑体"/>
          <w:kern w:val="2"/>
          <w:sz w:val="32"/>
          <w:szCs w:val="32"/>
          <w:highlight w:val="none"/>
        </w:rPr>
      </w:pPr>
      <w:r>
        <w:rPr>
          <w:rFonts w:hint="eastAsia" w:ascii="Times New Roman" w:hAnsi="Times New Roman"/>
          <w:spacing w:val="8"/>
          <w:kern w:val="2"/>
          <w:sz w:val="32"/>
          <w:szCs w:val="32"/>
          <w:highlight w:val="none"/>
        </w:rPr>
        <w:t>从事隶属本市管辖或参与本市组织科研活动事项</w:t>
      </w:r>
      <w:r>
        <w:rPr>
          <w:rFonts w:ascii="Times New Roman" w:hAnsi="Times New Roman"/>
          <w:kern w:val="2"/>
          <w:sz w:val="32"/>
          <w:szCs w:val="32"/>
          <w:highlight w:val="none"/>
        </w:rPr>
        <w:t>的各类科研院所、高校、企业、社会组织、服务机构等是</w:t>
      </w:r>
      <w:r>
        <w:rPr>
          <w:rFonts w:hint="eastAsia" w:ascii="Times New Roman" w:hAnsi="Times New Roman"/>
          <w:kern w:val="2"/>
          <w:sz w:val="32"/>
          <w:szCs w:val="32"/>
          <w:highlight w:val="none"/>
        </w:rPr>
        <w:t>科研诚信建设</w:t>
      </w:r>
      <w:r>
        <w:rPr>
          <w:rFonts w:ascii="Times New Roman" w:hAnsi="Times New Roman"/>
          <w:kern w:val="2"/>
          <w:sz w:val="32"/>
          <w:szCs w:val="32"/>
          <w:highlight w:val="none"/>
        </w:rPr>
        <w:t>、</w:t>
      </w:r>
      <w:r>
        <w:rPr>
          <w:rFonts w:hint="eastAsia" w:ascii="Times New Roman" w:hAnsi="Times New Roman"/>
          <w:kern w:val="2"/>
          <w:sz w:val="32"/>
          <w:szCs w:val="32"/>
          <w:highlight w:val="none"/>
        </w:rPr>
        <w:t>强化作风学风</w:t>
      </w:r>
      <w:r>
        <w:rPr>
          <w:rFonts w:ascii="Times New Roman" w:hAnsi="Times New Roman"/>
          <w:kern w:val="2"/>
          <w:sz w:val="32"/>
          <w:szCs w:val="32"/>
          <w:highlight w:val="none"/>
        </w:rPr>
        <w:t>、</w:t>
      </w:r>
      <w:r>
        <w:rPr>
          <w:rFonts w:hint="eastAsia" w:ascii="Times New Roman" w:hAnsi="Times New Roman"/>
          <w:kern w:val="2"/>
          <w:sz w:val="32"/>
          <w:szCs w:val="32"/>
          <w:highlight w:val="none"/>
        </w:rPr>
        <w:t>科研失信行为</w:t>
      </w:r>
      <w:r>
        <w:rPr>
          <w:rFonts w:ascii="Times New Roman" w:hAnsi="Times New Roman"/>
          <w:kern w:val="2"/>
          <w:sz w:val="32"/>
          <w:szCs w:val="32"/>
          <w:highlight w:val="none"/>
        </w:rPr>
        <w:t>调查处理的第一责任主体，应严格自律、</w:t>
      </w:r>
      <w:r>
        <w:rPr>
          <w:rFonts w:hint="eastAsia" w:ascii="Times New Roman" w:hAnsi="Times New Roman"/>
          <w:kern w:val="2"/>
          <w:sz w:val="32"/>
          <w:szCs w:val="32"/>
          <w:highlight w:val="none"/>
        </w:rPr>
        <w:t>遵守科研诚信管理各项规定，完善内部制度建设，将科研诚信和作风学风工作纳入日常管理，</w:t>
      </w:r>
      <w:r>
        <w:rPr>
          <w:rFonts w:ascii="Times New Roman" w:hAnsi="Times New Roman"/>
          <w:kern w:val="2"/>
          <w:sz w:val="32"/>
          <w:szCs w:val="32"/>
          <w:highlight w:val="none"/>
        </w:rPr>
        <w:t>防止失信行为，</w:t>
      </w:r>
      <w:r>
        <w:rPr>
          <w:rFonts w:hint="eastAsia" w:ascii="Times New Roman" w:hAnsi="Times New Roman"/>
          <w:kern w:val="2"/>
          <w:sz w:val="32"/>
          <w:szCs w:val="32"/>
          <w:highlight w:val="none"/>
        </w:rPr>
        <w:t>加强科研诚信教育，</w:t>
      </w:r>
      <w:r>
        <w:rPr>
          <w:rFonts w:ascii="Times New Roman" w:hAnsi="Times New Roman"/>
          <w:kern w:val="2"/>
          <w:sz w:val="32"/>
          <w:szCs w:val="32"/>
          <w:highlight w:val="none"/>
        </w:rPr>
        <w:t>信守科研信用承诺，履行诚信管理主体责任</w:t>
      </w:r>
      <w:r>
        <w:rPr>
          <w:rFonts w:hint="eastAsia" w:ascii="Times New Roman" w:hAnsi="Times New Roman"/>
          <w:kern w:val="2"/>
          <w:sz w:val="32"/>
          <w:szCs w:val="32"/>
          <w:highlight w:val="none"/>
        </w:rPr>
        <w:t>，引导科研人员树立良好的作风学风</w:t>
      </w:r>
      <w:r>
        <w:rPr>
          <w:rFonts w:ascii="Times New Roman" w:hAnsi="Times New Roman"/>
          <w:kern w:val="2"/>
          <w:sz w:val="32"/>
          <w:szCs w:val="32"/>
          <w:highlight w:val="none"/>
        </w:rPr>
        <w:t>。</w:t>
      </w:r>
    </w:p>
    <w:p>
      <w:pPr>
        <w:pStyle w:val="11"/>
        <w:widowControl w:val="0"/>
        <w:numPr>
          <w:ilvl w:val="0"/>
          <w:numId w:val="2"/>
        </w:numPr>
        <w:tabs>
          <w:tab w:val="left" w:pos="2020"/>
        </w:tabs>
        <w:overflowPunct w:val="0"/>
        <w:spacing w:beforeAutospacing="0" w:afterAutospacing="0" w:line="560" w:lineRule="exact"/>
        <w:ind w:left="0" w:firstLine="720" w:firstLineChars="200"/>
        <w:jc w:val="both"/>
        <w:rPr>
          <w:rFonts w:ascii="Times New Roman" w:hAnsi="Times New Roman"/>
          <w:spacing w:val="20"/>
          <w:sz w:val="32"/>
          <w:szCs w:val="32"/>
          <w:highlight w:val="none"/>
        </w:rPr>
      </w:pPr>
      <w:r>
        <w:rPr>
          <w:rFonts w:ascii="Times New Roman" w:hAnsi="Times New Roman"/>
          <w:spacing w:val="20"/>
          <w:sz w:val="32"/>
          <w:szCs w:val="32"/>
          <w:highlight w:val="none"/>
        </w:rPr>
        <w:t>项目单位、项目人员应当严格遵守法律、法规、规章以及项目管理和财政科研项目资金管理相关规定，恪守诚信承诺，履行项目任务书约定的内容，遵守科学研究行为准则与规范。</w:t>
      </w:r>
    </w:p>
    <w:p>
      <w:pPr>
        <w:pStyle w:val="4"/>
        <w:widowControl w:val="0"/>
        <w:numPr>
          <w:ilvl w:val="0"/>
          <w:numId w:val="2"/>
        </w:numPr>
        <w:tabs>
          <w:tab w:val="left" w:pos="2016"/>
        </w:tabs>
        <w:overflowPunct w:val="0"/>
        <w:spacing w:beforeAutospacing="0" w:afterAutospacing="0" w:line="560" w:lineRule="exact"/>
        <w:ind w:left="0" w:right="0" w:rightChars="0" w:firstLine="720" w:firstLineChars="200"/>
        <w:jc w:val="both"/>
        <w:rPr>
          <w:rFonts w:hint="eastAsia" w:ascii="Times New Roman" w:hAnsi="Times New Roman" w:eastAsia="仿宋_GB2312" w:cs="Times New Roman"/>
          <w:spacing w:val="20"/>
          <w:kern w:val="2"/>
          <w:sz w:val="32"/>
          <w:szCs w:val="32"/>
          <w:highlight w:val="none"/>
        </w:rPr>
      </w:pPr>
      <w:r>
        <w:rPr>
          <w:rFonts w:hint="eastAsia" w:ascii="Times New Roman" w:hAnsi="Times New Roman" w:cs="Times New Roman"/>
          <w:spacing w:val="20"/>
          <w:sz w:val="32"/>
          <w:szCs w:val="32"/>
          <w:highlight w:val="none"/>
        </w:rPr>
        <w:t>咨询评审专家、第三方科学技术服务机构及其工作人员应当严格遵守法律、法规、规章规定以及行业规范和职业道德，恪守诚信承诺，自觉抵制请托行为，实事求是、客观公正履行相关约定。</w:t>
      </w:r>
    </w:p>
    <w:p>
      <w:pPr>
        <w:pStyle w:val="4"/>
        <w:overflowPunct w:val="0"/>
        <w:spacing w:line="560" w:lineRule="exact"/>
        <w:ind w:right="0" w:rightChars="0" w:firstLine="720" w:firstLineChars="200"/>
        <w:rPr>
          <w:rFonts w:hint="eastAsia" w:ascii="Times New Roman" w:hAnsi="Times New Roman" w:eastAsia="仿宋_GB2312" w:cs="Times New Roman"/>
          <w:spacing w:val="20"/>
          <w:sz w:val="32"/>
          <w:szCs w:val="32"/>
          <w:highlight w:val="none"/>
        </w:rPr>
      </w:pPr>
    </w:p>
    <w:p>
      <w:pPr>
        <w:numPr>
          <w:ilvl w:val="0"/>
          <w:numId w:val="1"/>
        </w:numPr>
        <w:overflowPunct w:val="0"/>
        <w:spacing w:line="560" w:lineRule="exact"/>
        <w:jc w:val="center"/>
        <w:rPr>
          <w:rFonts w:hint="eastAsia" w:ascii="黑体" w:hAnsi="黑体" w:eastAsia="黑体" w:cs="黑体"/>
          <w:szCs w:val="32"/>
          <w:highlight w:val="none"/>
        </w:rPr>
      </w:pPr>
      <w:r>
        <w:rPr>
          <w:rFonts w:hint="eastAsia" w:ascii="黑体" w:hAnsi="黑体" w:eastAsia="黑体" w:cs="黑体"/>
          <w:szCs w:val="32"/>
          <w:highlight w:val="none"/>
        </w:rPr>
        <w:t>失信界定</w:t>
      </w:r>
    </w:p>
    <w:p>
      <w:pPr>
        <w:pStyle w:val="11"/>
        <w:widowControl w:val="0"/>
        <w:numPr>
          <w:ilvl w:val="0"/>
          <w:numId w:val="2"/>
        </w:numPr>
        <w:tabs>
          <w:tab w:val="left" w:pos="2016"/>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依据相关责任主体的信用表现</w:t>
      </w:r>
      <w:r>
        <w:rPr>
          <w:rFonts w:hint="eastAsia" w:ascii="Times New Roman" w:hAnsi="Times New Roman"/>
          <w:kern w:val="2"/>
          <w:sz w:val="32"/>
          <w:szCs w:val="32"/>
          <w:highlight w:val="none"/>
        </w:rPr>
        <w:t>实行科研信用分级评价制度，</w:t>
      </w:r>
      <w:r>
        <w:rPr>
          <w:rFonts w:ascii="Times New Roman" w:hAnsi="Times New Roman"/>
          <w:kern w:val="2"/>
          <w:sz w:val="32"/>
          <w:szCs w:val="32"/>
          <w:highlight w:val="none"/>
        </w:rPr>
        <w:t>分良好信用</w:t>
      </w:r>
      <w:r>
        <w:rPr>
          <w:rFonts w:hint="eastAsia" w:ascii="Times New Roman" w:hAnsi="Times New Roman"/>
          <w:kern w:val="2"/>
          <w:sz w:val="32"/>
          <w:szCs w:val="32"/>
          <w:highlight w:val="none"/>
        </w:rPr>
        <w:t>（A/B级）</w:t>
      </w:r>
      <w:r>
        <w:rPr>
          <w:rFonts w:ascii="Times New Roman" w:hAnsi="Times New Roman"/>
          <w:kern w:val="2"/>
          <w:sz w:val="32"/>
          <w:szCs w:val="32"/>
          <w:highlight w:val="none"/>
        </w:rPr>
        <w:t>、一般失信</w:t>
      </w:r>
      <w:r>
        <w:rPr>
          <w:rFonts w:hint="eastAsia" w:ascii="Times New Roman" w:hAnsi="Times New Roman"/>
          <w:kern w:val="2"/>
          <w:sz w:val="32"/>
          <w:szCs w:val="32"/>
          <w:highlight w:val="none"/>
        </w:rPr>
        <w:t>（C级）</w:t>
      </w:r>
      <w:r>
        <w:rPr>
          <w:rFonts w:ascii="Times New Roman" w:hAnsi="Times New Roman"/>
          <w:kern w:val="2"/>
          <w:sz w:val="32"/>
          <w:szCs w:val="32"/>
          <w:highlight w:val="none"/>
        </w:rPr>
        <w:t>、严重失信</w:t>
      </w:r>
      <w:r>
        <w:rPr>
          <w:rFonts w:hint="eastAsia" w:ascii="Times New Roman" w:hAnsi="Times New Roman"/>
          <w:kern w:val="2"/>
          <w:sz w:val="32"/>
          <w:szCs w:val="32"/>
          <w:highlight w:val="none"/>
        </w:rPr>
        <w:t>（D级）</w:t>
      </w:r>
      <w:r>
        <w:rPr>
          <w:rFonts w:ascii="Times New Roman" w:hAnsi="Times New Roman"/>
          <w:kern w:val="2"/>
          <w:sz w:val="32"/>
          <w:szCs w:val="32"/>
          <w:highlight w:val="none"/>
        </w:rPr>
        <w:t>三个</w:t>
      </w:r>
      <w:r>
        <w:rPr>
          <w:rFonts w:hint="eastAsia" w:ascii="Times New Roman" w:hAnsi="Times New Roman"/>
          <w:kern w:val="2"/>
          <w:sz w:val="32"/>
          <w:szCs w:val="32"/>
          <w:highlight w:val="none"/>
        </w:rPr>
        <w:t>等级</w:t>
      </w:r>
      <w:r>
        <w:rPr>
          <w:rFonts w:ascii="Times New Roman" w:hAnsi="Times New Roman"/>
          <w:kern w:val="2"/>
          <w:sz w:val="32"/>
          <w:szCs w:val="32"/>
          <w:highlight w:val="none"/>
        </w:rPr>
        <w:t>，进行记录和管理。</w:t>
      </w:r>
      <w:r>
        <w:rPr>
          <w:rFonts w:hint="eastAsia" w:ascii="Times New Roman" w:hAnsi="Times New Roman"/>
          <w:kern w:val="2"/>
          <w:sz w:val="32"/>
          <w:szCs w:val="32"/>
          <w:highlight w:val="none"/>
        </w:rPr>
        <w:t>被上级科技行政管理部门列入科研失信记录的，按其失信类别直接列入我市科研失信记录。</w:t>
      </w:r>
    </w:p>
    <w:p>
      <w:pPr>
        <w:pStyle w:val="11"/>
        <w:widowControl w:val="0"/>
        <w:overflowPunct w:val="0"/>
        <w:spacing w:beforeAutospacing="0" w:afterAutospacing="0" w:line="560" w:lineRule="exact"/>
        <w:ind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良好信用</w:t>
      </w:r>
      <w:r>
        <w:rPr>
          <w:rFonts w:hint="eastAsia" w:ascii="Times New Roman" w:hAnsi="Times New Roman"/>
          <w:kern w:val="2"/>
          <w:sz w:val="32"/>
          <w:szCs w:val="32"/>
          <w:highlight w:val="none"/>
        </w:rPr>
        <w:t>（A/B级）</w:t>
      </w:r>
      <w:r>
        <w:rPr>
          <w:rFonts w:ascii="Times New Roman" w:hAnsi="Times New Roman"/>
          <w:kern w:val="2"/>
          <w:sz w:val="32"/>
          <w:szCs w:val="32"/>
          <w:highlight w:val="none"/>
        </w:rPr>
        <w:t>：相关责任主体在参与科研活动中，遵守相关管理制度与政策法规、履行科研责任和义务，奉行科研行为准则、遵守科研道德规范</w:t>
      </w:r>
      <w:r>
        <w:rPr>
          <w:rFonts w:hint="eastAsia" w:ascii="Times New Roman" w:hAnsi="Times New Roman"/>
          <w:kern w:val="2"/>
          <w:sz w:val="32"/>
          <w:szCs w:val="32"/>
          <w:highlight w:val="none"/>
        </w:rPr>
        <w:t>。其中，</w:t>
      </w:r>
      <w:r>
        <w:rPr>
          <w:rFonts w:ascii="Times New Roman" w:hAnsi="Times New Roman"/>
          <w:kern w:val="2"/>
          <w:sz w:val="32"/>
          <w:szCs w:val="32"/>
          <w:highlight w:val="none"/>
        </w:rPr>
        <w:t>连续</w:t>
      </w:r>
      <w:r>
        <w:rPr>
          <w:rFonts w:hint="eastAsia" w:ascii="Times New Roman" w:hAnsi="Times New Roman"/>
          <w:kern w:val="2"/>
          <w:sz w:val="32"/>
          <w:szCs w:val="32"/>
          <w:highlight w:val="none"/>
        </w:rPr>
        <w:t>五</w:t>
      </w:r>
      <w:r>
        <w:rPr>
          <w:rFonts w:ascii="Times New Roman" w:hAnsi="Times New Roman"/>
          <w:kern w:val="2"/>
          <w:sz w:val="32"/>
          <w:szCs w:val="32"/>
          <w:highlight w:val="none"/>
        </w:rPr>
        <w:t>年以上无任何科研失信记录</w:t>
      </w:r>
      <w:r>
        <w:rPr>
          <w:rFonts w:hint="eastAsia" w:ascii="Times New Roman" w:hAnsi="Times New Roman"/>
          <w:kern w:val="2"/>
          <w:sz w:val="32"/>
          <w:szCs w:val="32"/>
          <w:highlight w:val="none"/>
        </w:rPr>
        <w:t>的相关责任主体为信用</w:t>
      </w:r>
      <w:r>
        <w:rPr>
          <w:rFonts w:ascii="Times New Roman" w:hAnsi="Times New Roman"/>
          <w:kern w:val="2"/>
          <w:sz w:val="32"/>
          <w:szCs w:val="32"/>
          <w:highlight w:val="none"/>
        </w:rPr>
        <w:t>A</w:t>
      </w:r>
      <w:r>
        <w:rPr>
          <w:rFonts w:hint="eastAsia" w:ascii="Times New Roman" w:hAnsi="Times New Roman"/>
          <w:kern w:val="2"/>
          <w:sz w:val="32"/>
          <w:szCs w:val="32"/>
          <w:highlight w:val="none"/>
        </w:rPr>
        <w:t>级</w:t>
      </w:r>
      <w:r>
        <w:rPr>
          <w:rFonts w:ascii="Times New Roman" w:hAnsi="Times New Roman"/>
          <w:kern w:val="2"/>
          <w:sz w:val="32"/>
          <w:szCs w:val="32"/>
          <w:highlight w:val="none"/>
        </w:rPr>
        <w:t>。</w:t>
      </w:r>
    </w:p>
    <w:p>
      <w:pPr>
        <w:pStyle w:val="11"/>
        <w:widowControl w:val="0"/>
        <w:overflowPunct w:val="0"/>
        <w:spacing w:beforeAutospacing="0" w:afterAutospacing="0" w:line="560" w:lineRule="exact"/>
        <w:ind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一般失信</w:t>
      </w:r>
      <w:r>
        <w:rPr>
          <w:rFonts w:hint="eastAsia" w:ascii="Times New Roman" w:hAnsi="Times New Roman"/>
          <w:kern w:val="2"/>
          <w:sz w:val="32"/>
          <w:szCs w:val="32"/>
          <w:highlight w:val="none"/>
        </w:rPr>
        <w:t>（</w:t>
      </w:r>
      <w:r>
        <w:rPr>
          <w:rFonts w:ascii="Times New Roman" w:hAnsi="Times New Roman"/>
          <w:kern w:val="2"/>
          <w:sz w:val="32"/>
          <w:szCs w:val="32"/>
          <w:highlight w:val="none"/>
        </w:rPr>
        <w:t>C</w:t>
      </w:r>
      <w:r>
        <w:rPr>
          <w:rFonts w:hint="eastAsia" w:ascii="Times New Roman" w:hAnsi="Times New Roman"/>
          <w:kern w:val="2"/>
          <w:sz w:val="32"/>
          <w:szCs w:val="32"/>
          <w:highlight w:val="none"/>
        </w:rPr>
        <w:t>级）</w:t>
      </w:r>
      <w:r>
        <w:rPr>
          <w:rFonts w:ascii="Times New Roman" w:hAnsi="Times New Roman"/>
          <w:kern w:val="2"/>
          <w:sz w:val="32"/>
          <w:szCs w:val="32"/>
          <w:highlight w:val="none"/>
        </w:rPr>
        <w:t>：相关责任主体在参与科研活动中，发生失信行为但未造成严重后果或恶劣影响。</w:t>
      </w:r>
    </w:p>
    <w:p>
      <w:pPr>
        <w:pStyle w:val="11"/>
        <w:widowControl w:val="0"/>
        <w:overflowPunct w:val="0"/>
        <w:spacing w:beforeAutospacing="0" w:afterAutospacing="0" w:line="560" w:lineRule="exact"/>
        <w:ind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严重失信</w:t>
      </w:r>
      <w:r>
        <w:rPr>
          <w:rFonts w:hint="eastAsia" w:ascii="Times New Roman" w:hAnsi="Times New Roman"/>
          <w:kern w:val="2"/>
          <w:sz w:val="32"/>
          <w:szCs w:val="32"/>
          <w:highlight w:val="none"/>
        </w:rPr>
        <w:t>（D级）</w:t>
      </w:r>
      <w:r>
        <w:rPr>
          <w:rFonts w:ascii="Times New Roman" w:hAnsi="Times New Roman"/>
          <w:kern w:val="2"/>
          <w:sz w:val="32"/>
          <w:szCs w:val="32"/>
          <w:highlight w:val="none"/>
        </w:rPr>
        <w:t>：相关责任主体在参与科研活动中，发生失信行为且造成严重后果或恶劣影响。</w:t>
      </w:r>
    </w:p>
    <w:p>
      <w:pPr>
        <w:pStyle w:val="11"/>
        <w:widowControl w:val="0"/>
        <w:numPr>
          <w:ilvl w:val="0"/>
          <w:numId w:val="2"/>
        </w:numPr>
        <w:overflowPunct w:val="0"/>
        <w:spacing w:beforeAutospacing="0" w:afterAutospacing="0" w:line="560" w:lineRule="exact"/>
        <w:ind w:left="0" w:firstLine="720" w:firstLineChars="200"/>
        <w:jc w:val="both"/>
        <w:rPr>
          <w:rFonts w:ascii="Times New Roman" w:hAnsi="Times New Roman"/>
          <w:kern w:val="2"/>
          <w:sz w:val="32"/>
          <w:szCs w:val="32"/>
          <w:highlight w:val="none"/>
        </w:rPr>
      </w:pPr>
      <w:r>
        <w:rPr>
          <w:rFonts w:hint="eastAsia" w:ascii="Times New Roman" w:hAnsi="Times New Roman"/>
          <w:spacing w:val="20"/>
          <w:sz w:val="32"/>
          <w:szCs w:val="32"/>
          <w:highlight w:val="none"/>
          <w:lang w:eastAsia="zh-CN"/>
        </w:rPr>
        <w:t>项目</w:t>
      </w:r>
      <w:r>
        <w:rPr>
          <w:rFonts w:ascii="Times New Roman" w:hAnsi="Times New Roman"/>
          <w:spacing w:val="8"/>
          <w:kern w:val="2"/>
          <w:sz w:val="32"/>
          <w:szCs w:val="32"/>
          <w:highlight w:val="none"/>
        </w:rPr>
        <w:t>单位科研失信行为包括以下情形</w:t>
      </w:r>
      <w:r>
        <w:rPr>
          <w:rFonts w:ascii="Times New Roman" w:hAnsi="Times New Roman"/>
          <w:kern w:val="2"/>
          <w:sz w:val="32"/>
          <w:szCs w:val="32"/>
          <w:highlight w:val="none"/>
        </w:rPr>
        <w:t>：</w:t>
      </w:r>
    </w:p>
    <w:p>
      <w:pPr>
        <w:pStyle w:val="11"/>
        <w:widowControl w:val="0"/>
        <w:numPr>
          <w:ilvl w:val="0"/>
          <w:numId w:val="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在项目申报、评审、立项、实施、验收、监督检查和评估评价等科研活动事项中存在伪造、篡改、贿赂、利益交换等行为，提供虚假材料，组织实施“打招呼”“走关系等请托行为；</w:t>
      </w:r>
    </w:p>
    <w:p>
      <w:pPr>
        <w:pStyle w:val="11"/>
        <w:widowControl w:val="0"/>
        <w:numPr>
          <w:ilvl w:val="0"/>
          <w:numId w:val="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管理失职，造成负面影响或财政资金损失；</w:t>
      </w:r>
    </w:p>
    <w:p>
      <w:pPr>
        <w:pStyle w:val="11"/>
        <w:widowControl w:val="0"/>
        <w:numPr>
          <w:ilvl w:val="0"/>
          <w:numId w:val="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无正当理由不履行科研项目及资金管理规定的主要义务；</w:t>
      </w:r>
    </w:p>
    <w:p>
      <w:pPr>
        <w:pStyle w:val="11"/>
        <w:widowControl w:val="0"/>
        <w:numPr>
          <w:ilvl w:val="0"/>
          <w:numId w:val="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隐瞒、迁就、包庇、纵容本单位人员或合作单位人员的科研失信行为，或骗取项目；</w:t>
      </w:r>
    </w:p>
    <w:p>
      <w:pPr>
        <w:pStyle w:val="11"/>
        <w:widowControl w:val="0"/>
        <w:numPr>
          <w:ilvl w:val="0"/>
          <w:numId w:val="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科研活动事项重大变更未按要求报告相关部门；</w:t>
      </w:r>
    </w:p>
    <w:p>
      <w:pPr>
        <w:pStyle w:val="11"/>
        <w:widowControl w:val="0"/>
        <w:numPr>
          <w:ilvl w:val="0"/>
          <w:numId w:val="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未经批准，违规转包、分包科研任务；</w:t>
      </w:r>
    </w:p>
    <w:p>
      <w:pPr>
        <w:pStyle w:val="11"/>
        <w:widowControl w:val="0"/>
        <w:numPr>
          <w:ilvl w:val="0"/>
          <w:numId w:val="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截留、挤兑、挪用、套取、转移、私分财政科研资金，使用财政科研资金捐赠、担保、委托理财等；</w:t>
      </w:r>
    </w:p>
    <w:p>
      <w:pPr>
        <w:pStyle w:val="11"/>
        <w:widowControl w:val="0"/>
        <w:numPr>
          <w:ilvl w:val="0"/>
          <w:numId w:val="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不配合监督检查、评估评价和违规行为核查工作，不整改、虚假整改或整改未达到要求；</w:t>
      </w:r>
    </w:p>
    <w:p>
      <w:pPr>
        <w:pStyle w:val="11"/>
        <w:widowControl w:val="0"/>
        <w:numPr>
          <w:ilvl w:val="0"/>
          <w:numId w:val="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不按规定上缴或退回应收回的财政科研资金；</w:t>
      </w:r>
    </w:p>
    <w:p>
      <w:pPr>
        <w:pStyle w:val="11"/>
        <w:widowControl w:val="0"/>
        <w:numPr>
          <w:ilvl w:val="0"/>
          <w:numId w:val="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无正当理由未在项目任务书约定时间内组织结题或者提交结题申请；</w:t>
      </w:r>
    </w:p>
    <w:p>
      <w:pPr>
        <w:pStyle w:val="11"/>
        <w:widowControl w:val="0"/>
        <w:numPr>
          <w:ilvl w:val="0"/>
          <w:numId w:val="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除不可抗力外，因组织不到位、管理不善等原因导致所管理的科学技术活动被强制终止；</w:t>
      </w:r>
    </w:p>
    <w:p>
      <w:pPr>
        <w:pStyle w:val="11"/>
        <w:widowControl w:val="0"/>
        <w:numPr>
          <w:ilvl w:val="0"/>
          <w:numId w:val="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未按规定进行科技伦理审查并监督执行，或以弄虚作假方式获得项目科技伦理审查批准，或伪造、篡改项目科技伦理审查批准文件等；</w:t>
      </w:r>
    </w:p>
    <w:p>
      <w:pPr>
        <w:pStyle w:val="11"/>
        <w:widowControl w:val="0"/>
        <w:numPr>
          <w:ilvl w:val="0"/>
          <w:numId w:val="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违反保密相关规定，违反国家法律法规和科学道德，开展危害国家安全、损害社会公共利益、危害生命安全和生态安全的科研活动事项；</w:t>
      </w:r>
    </w:p>
    <w:p>
      <w:pPr>
        <w:pStyle w:val="11"/>
        <w:widowControl w:val="0"/>
        <w:numPr>
          <w:ilvl w:val="0"/>
          <w:numId w:val="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其他科研失信行为。</w:t>
      </w:r>
    </w:p>
    <w:p>
      <w:pPr>
        <w:pStyle w:val="11"/>
        <w:widowControl w:val="0"/>
        <w:numPr>
          <w:ilvl w:val="0"/>
          <w:numId w:val="2"/>
        </w:numPr>
        <w:tabs>
          <w:tab w:val="left" w:pos="2360"/>
        </w:tabs>
        <w:overflowPunct w:val="0"/>
        <w:spacing w:beforeAutospacing="0" w:afterAutospacing="0" w:line="560" w:lineRule="exact"/>
        <w:ind w:left="0" w:firstLine="664" w:firstLineChars="200"/>
        <w:jc w:val="both"/>
        <w:rPr>
          <w:rFonts w:ascii="Times New Roman" w:hAnsi="Times New Roman"/>
          <w:spacing w:val="6"/>
          <w:kern w:val="2"/>
          <w:sz w:val="32"/>
          <w:szCs w:val="32"/>
          <w:highlight w:val="none"/>
        </w:rPr>
      </w:pPr>
      <w:r>
        <w:rPr>
          <w:rFonts w:hint="eastAsia" w:ascii="Times New Roman" w:hAnsi="Times New Roman"/>
          <w:spacing w:val="6"/>
          <w:kern w:val="2"/>
          <w:sz w:val="32"/>
          <w:szCs w:val="32"/>
          <w:highlight w:val="none"/>
        </w:rPr>
        <w:t>项目人员科研失信行为包括以下情形：</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在项目申报、评审、立项、实施、验收、监督检查和评估评价等科研活动事项中存在伪造、篡改、贿赂、利益交换等行为，提供虚假材料，组织实施“打招呼”“走关系等请托行为；</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采取造假、串通、故意重复申报等不正当手段获取项目承担资格或通过验收，弄虚作假，骗取项目财政资金以及奖励、荣誉等；</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抄袭、剽窃、侵占他人研究成果或项目申请书；</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编造研究过程、伪造研究成果，买卖、伪造、篡改实验研究数据、图表结论、检测报告或用户使用报告等；</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买卖、代写、代投论文或项目申报、验收材料等，虚构同行评议专家及评议意见；</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无实质学术贡献署名，违反论文、奖励、专利等署名规范；</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无正当理由不履行合同约定开展研究或擅自变更研究内容，造成负面影响或财政资金损失；</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故意夸大研究基础、学术价值或科技成果的技术价值、社会经济效益，进行项目申报、人才评选、成果奖励、舆论宣传等；</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使用生成式人工智能直接生成申报、评审、实施、验收、监督检查等材料；</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故意、恶意隐瞒技术风险，造成负面影响或财政资金损失；</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超权限调整科研任务或预算安排，违规将科研任务转包、分包；</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科学技术活动重大事项变动未按要求报告相关部门；</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随意降低目标任务和约定要求，以项目实施周期外或不相关成果充抵交差；</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违反科研资金管理规定，虚报、冒领、贪污、截留、侵占、套取、转移、挪用科研资金，谋取私利；</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不配合监督检查、评估评价和违规行为核查工作，对相关处理意见不整改、虚假整改或整改未达到要求；</w:t>
      </w:r>
    </w:p>
    <w:p>
      <w:pPr>
        <w:pStyle w:val="11"/>
        <w:widowControl w:val="0"/>
        <w:numPr>
          <w:ilvl w:val="0"/>
          <w:numId w:val="4"/>
        </w:numPr>
        <w:tabs>
          <w:tab w:val="left" w:pos="2016"/>
        </w:tabs>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违反国家法律法规</w:t>
      </w:r>
      <w:r>
        <w:rPr>
          <w:rFonts w:hint="eastAsia" w:ascii="Times New Roman" w:hAnsi="Times New Roman" w:cs="Times New Roman"/>
          <w:spacing w:val="20"/>
          <w:sz w:val="32"/>
          <w:szCs w:val="32"/>
          <w:highlight w:val="none"/>
          <w:lang w:eastAsia="zh-CN"/>
        </w:rPr>
        <w:t>、</w:t>
      </w:r>
      <w:r>
        <w:rPr>
          <w:rFonts w:hint="eastAsia" w:ascii="Times New Roman" w:hAnsi="Times New Roman" w:cs="Times New Roman"/>
          <w:spacing w:val="20"/>
          <w:sz w:val="32"/>
          <w:szCs w:val="32"/>
          <w:highlight w:val="none"/>
        </w:rPr>
        <w:t>科学道德</w:t>
      </w:r>
      <w:r>
        <w:rPr>
          <w:rFonts w:hint="eastAsia" w:ascii="Times New Roman" w:hAnsi="Times New Roman" w:cs="Times New Roman"/>
          <w:spacing w:val="20"/>
          <w:sz w:val="32"/>
          <w:szCs w:val="32"/>
          <w:highlight w:val="none"/>
          <w:lang w:eastAsia="zh-CN"/>
        </w:rPr>
        <w:t>、</w:t>
      </w:r>
      <w:r>
        <w:rPr>
          <w:rFonts w:hint="eastAsia" w:ascii="Times New Roman" w:hAnsi="Times New Roman" w:cs="Times New Roman"/>
          <w:spacing w:val="20"/>
          <w:sz w:val="32"/>
          <w:szCs w:val="32"/>
          <w:highlight w:val="none"/>
        </w:rPr>
        <w:t>科技伦理规范，开展危害国家安全、损害社会公共利益、危害人体健康的科研活动事项；</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违反科研活动事项保密相关规定；</w:t>
      </w:r>
    </w:p>
    <w:p>
      <w:pPr>
        <w:pStyle w:val="11"/>
        <w:widowControl w:val="0"/>
        <w:numPr>
          <w:ilvl w:val="0"/>
          <w:numId w:val="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其他科研失信行为。</w:t>
      </w:r>
    </w:p>
    <w:p>
      <w:pPr>
        <w:pStyle w:val="11"/>
        <w:widowControl w:val="0"/>
        <w:numPr>
          <w:ilvl w:val="0"/>
          <w:numId w:val="2"/>
        </w:numPr>
        <w:tabs>
          <w:tab w:val="left" w:pos="2360"/>
        </w:tabs>
        <w:overflowPunct w:val="0"/>
        <w:spacing w:beforeAutospacing="0" w:afterAutospacing="0" w:line="560" w:lineRule="exact"/>
        <w:ind w:left="0" w:firstLine="720" w:firstLineChars="200"/>
        <w:jc w:val="both"/>
        <w:rPr>
          <w:rFonts w:ascii="Times New Roman" w:hAnsi="Times New Roman"/>
          <w:spacing w:val="20"/>
          <w:kern w:val="2"/>
          <w:sz w:val="32"/>
          <w:szCs w:val="32"/>
          <w:highlight w:val="none"/>
        </w:rPr>
      </w:pPr>
      <w:r>
        <w:rPr>
          <w:rFonts w:ascii="Times New Roman" w:hAnsi="Times New Roman"/>
          <w:spacing w:val="20"/>
          <w:kern w:val="2"/>
          <w:sz w:val="32"/>
          <w:szCs w:val="32"/>
          <w:highlight w:val="none"/>
        </w:rPr>
        <w:t>咨询评审专家科研失信行为包括以下情形：</w:t>
      </w:r>
    </w:p>
    <w:p>
      <w:pPr>
        <w:pStyle w:val="11"/>
        <w:widowControl w:val="0"/>
        <w:numPr>
          <w:ilvl w:val="0"/>
          <w:numId w:val="5"/>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采取弄虚作假、贿赂、利益交换、串通等不正当手段获取咨询、评审、评估、评价、监督检查资格；</w:t>
      </w:r>
    </w:p>
    <w:p>
      <w:pPr>
        <w:pStyle w:val="11"/>
        <w:widowControl w:val="0"/>
        <w:numPr>
          <w:ilvl w:val="0"/>
          <w:numId w:val="5"/>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在项目申报、评审、立项、实施、验收、监督检查和评估评价等活动中，违反回避制度，接受“打招呼”“走关系”等请托；</w:t>
      </w:r>
    </w:p>
    <w:p>
      <w:pPr>
        <w:pStyle w:val="11"/>
        <w:widowControl w:val="0"/>
        <w:numPr>
          <w:ilvl w:val="0"/>
          <w:numId w:val="5"/>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引导、游说其他专家或工作人员，影响咨询、评审、评估、评价、监督检查过程和结果；</w:t>
      </w:r>
    </w:p>
    <w:p>
      <w:pPr>
        <w:pStyle w:val="11"/>
        <w:widowControl w:val="0"/>
        <w:numPr>
          <w:ilvl w:val="0"/>
          <w:numId w:val="5"/>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利用咨询评审等专家身份索取、收受利益相关方财物或其他不正当利益；</w:t>
      </w:r>
    </w:p>
    <w:p>
      <w:pPr>
        <w:pStyle w:val="11"/>
        <w:widowControl w:val="0"/>
        <w:numPr>
          <w:ilvl w:val="0"/>
          <w:numId w:val="5"/>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出具明显不当的咨询、评审、评估、评价、检查意见；</w:t>
      </w:r>
    </w:p>
    <w:p>
      <w:pPr>
        <w:pStyle w:val="11"/>
        <w:widowControl w:val="0"/>
        <w:numPr>
          <w:ilvl w:val="0"/>
          <w:numId w:val="5"/>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利用参与评审工作获得的非公开技术、商业信息为本人或第三方谋取私利；</w:t>
      </w:r>
    </w:p>
    <w:p>
      <w:pPr>
        <w:pStyle w:val="11"/>
        <w:widowControl w:val="0"/>
        <w:numPr>
          <w:ilvl w:val="0"/>
          <w:numId w:val="5"/>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泄露咨询评审过程中需要保密的申请人、专家名单、专家意见、评审结论等相关信息；</w:t>
      </w:r>
    </w:p>
    <w:p>
      <w:pPr>
        <w:pStyle w:val="11"/>
        <w:widowControl w:val="0"/>
        <w:numPr>
          <w:ilvl w:val="0"/>
          <w:numId w:val="5"/>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无正当理由缺席或擅自委托他人顶替，未遵守现场规则擅自离席或与项目承担科研单位接触；</w:t>
      </w:r>
    </w:p>
    <w:p>
      <w:pPr>
        <w:pStyle w:val="11"/>
        <w:widowControl w:val="0"/>
        <w:numPr>
          <w:ilvl w:val="0"/>
          <w:numId w:val="5"/>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抄袭或剽窃咨询、评审、检查等工作对象的科学技术成果；</w:t>
      </w:r>
    </w:p>
    <w:p>
      <w:pPr>
        <w:pStyle w:val="11"/>
        <w:widowControl w:val="0"/>
        <w:numPr>
          <w:ilvl w:val="0"/>
          <w:numId w:val="5"/>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违反科研活动事项保密相关规定；</w:t>
      </w:r>
    </w:p>
    <w:p>
      <w:pPr>
        <w:pStyle w:val="11"/>
        <w:widowControl w:val="0"/>
        <w:numPr>
          <w:ilvl w:val="0"/>
          <w:numId w:val="5"/>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其他科研失信行为。</w:t>
      </w:r>
    </w:p>
    <w:p>
      <w:pPr>
        <w:pStyle w:val="11"/>
        <w:widowControl w:val="0"/>
        <w:numPr>
          <w:ilvl w:val="0"/>
          <w:numId w:val="2"/>
        </w:numPr>
        <w:tabs>
          <w:tab w:val="left" w:pos="2360"/>
        </w:tabs>
        <w:overflowPunct w:val="0"/>
        <w:spacing w:beforeAutospacing="0" w:afterAutospacing="0" w:line="560" w:lineRule="exact"/>
        <w:ind w:left="0" w:firstLine="720" w:firstLineChars="200"/>
        <w:jc w:val="both"/>
        <w:rPr>
          <w:rFonts w:ascii="Times New Roman" w:hAnsi="Times New Roman"/>
          <w:spacing w:val="20"/>
          <w:kern w:val="2"/>
          <w:sz w:val="32"/>
          <w:szCs w:val="32"/>
          <w:highlight w:val="none"/>
        </w:rPr>
      </w:pPr>
      <w:r>
        <w:rPr>
          <w:rFonts w:ascii="Times New Roman" w:hAnsi="Times New Roman"/>
          <w:spacing w:val="20"/>
          <w:kern w:val="2"/>
          <w:sz w:val="32"/>
          <w:szCs w:val="32"/>
          <w:highlight w:val="none"/>
        </w:rPr>
        <w:t>第三方科学技术服务机构及其工作人员科研失信行为包括以下情形：</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spacing w:val="20"/>
          <w:sz w:val="32"/>
          <w:szCs w:val="32"/>
          <w:highlight w:val="none"/>
        </w:rPr>
      </w:pPr>
      <w:r>
        <w:rPr>
          <w:rFonts w:hint="eastAsia" w:ascii="Times New Roman" w:hAnsi="Times New Roman"/>
          <w:spacing w:val="20"/>
          <w:sz w:val="32"/>
          <w:szCs w:val="32"/>
          <w:highlight w:val="none"/>
        </w:rPr>
        <w:t>采取弄虚作假等不正当手段获取科研活动事项相关业务</w:t>
      </w:r>
      <w:r>
        <w:rPr>
          <w:rFonts w:hint="eastAsia" w:ascii="Times New Roman" w:hAnsi="Times New Roman"/>
          <w:spacing w:val="20"/>
          <w:sz w:val="32"/>
          <w:szCs w:val="32"/>
          <w:highlight w:val="none"/>
          <w:lang w:eastAsia="zh-CN"/>
        </w:rPr>
        <w:t>或资格</w:t>
      </w:r>
      <w:r>
        <w:rPr>
          <w:rFonts w:hint="eastAsia" w:ascii="Times New Roman" w:hAnsi="Times New Roman"/>
          <w:spacing w:val="20"/>
          <w:sz w:val="32"/>
          <w:szCs w:val="32"/>
          <w:highlight w:val="none"/>
        </w:rPr>
        <w:t>；</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spacing w:val="20"/>
          <w:sz w:val="32"/>
          <w:szCs w:val="32"/>
          <w:highlight w:val="none"/>
        </w:rPr>
      </w:pPr>
      <w:r>
        <w:rPr>
          <w:rFonts w:hint="eastAsia" w:ascii="Times New Roman" w:hAnsi="Times New Roman"/>
          <w:spacing w:val="20"/>
          <w:sz w:val="32"/>
          <w:szCs w:val="32"/>
          <w:highlight w:val="none"/>
        </w:rPr>
        <w:t>从事学术论文及其实验研究数据、科学技术活动申报验收材料等的买卖、代写、代投服务，以及伪造、虚构、篡改研究数据等；</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spacing w:val="20"/>
          <w:sz w:val="32"/>
          <w:szCs w:val="32"/>
          <w:highlight w:val="none"/>
        </w:rPr>
        <w:t>在项目申报、评审、立项、实施、验收、</w:t>
      </w:r>
      <w:r>
        <w:rPr>
          <w:rFonts w:hint="eastAsia" w:ascii="Times New Roman" w:hAnsi="Times New Roman"/>
          <w:spacing w:val="20"/>
          <w:sz w:val="32"/>
          <w:szCs w:val="32"/>
          <w:highlight w:val="none"/>
          <w:lang w:eastAsia="zh-CN"/>
        </w:rPr>
        <w:t>监理、</w:t>
      </w:r>
      <w:r>
        <w:rPr>
          <w:rFonts w:hint="eastAsia" w:ascii="Times New Roman" w:hAnsi="Times New Roman"/>
          <w:spacing w:val="20"/>
          <w:sz w:val="32"/>
          <w:szCs w:val="32"/>
          <w:highlight w:val="none"/>
        </w:rPr>
        <w:t>监督检查和评估评价等</w:t>
      </w:r>
      <w:r>
        <w:rPr>
          <w:rFonts w:hint="eastAsia" w:ascii="Times New Roman" w:hAnsi="Times New Roman"/>
          <w:spacing w:val="20"/>
          <w:sz w:val="32"/>
          <w:szCs w:val="32"/>
          <w:highlight w:val="none"/>
          <w:lang w:eastAsia="zh-CN"/>
        </w:rPr>
        <w:t>科技</w:t>
      </w:r>
      <w:r>
        <w:rPr>
          <w:rFonts w:hint="eastAsia" w:ascii="Times New Roman" w:hAnsi="Times New Roman"/>
          <w:spacing w:val="20"/>
          <w:sz w:val="32"/>
          <w:szCs w:val="32"/>
          <w:highlight w:val="none"/>
        </w:rPr>
        <w:t>活动中，违反回避制度，隐瞒利益冲突，接受“打招呼”“走关系”等请托；</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spacing w:val="20"/>
          <w:sz w:val="32"/>
          <w:szCs w:val="32"/>
          <w:highlight w:val="none"/>
        </w:rPr>
        <w:t>承担或参加所管理的科</w:t>
      </w:r>
      <w:r>
        <w:rPr>
          <w:rFonts w:hint="eastAsia" w:ascii="Times New Roman" w:hAnsi="Times New Roman"/>
          <w:spacing w:val="20"/>
          <w:sz w:val="32"/>
          <w:szCs w:val="32"/>
          <w:highlight w:val="none"/>
          <w:lang w:eastAsia="zh-CN"/>
        </w:rPr>
        <w:t>学技术活动或项目，或者</w:t>
      </w:r>
      <w:r>
        <w:rPr>
          <w:rFonts w:hint="eastAsia" w:ascii="Times New Roman" w:hAnsi="Times New Roman"/>
          <w:spacing w:val="20"/>
          <w:sz w:val="32"/>
          <w:szCs w:val="32"/>
          <w:highlight w:val="none"/>
        </w:rPr>
        <w:t>参与所管理的科学技术活动中有关论文、著作、专利等科学技术成果的署名及相关科技奖励、人才评选等</w:t>
      </w:r>
      <w:r>
        <w:rPr>
          <w:rFonts w:hint="eastAsia" w:ascii="Times New Roman" w:hAnsi="Times New Roman"/>
          <w:spacing w:val="20"/>
          <w:sz w:val="32"/>
          <w:szCs w:val="32"/>
          <w:highlight w:val="none"/>
          <w:lang w:eastAsia="zh-CN"/>
        </w:rPr>
        <w:t>；</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spacing w:val="20"/>
          <w:sz w:val="32"/>
          <w:szCs w:val="32"/>
          <w:highlight w:val="none"/>
          <w:lang w:eastAsia="zh-CN"/>
        </w:rPr>
        <w:t>相关人员</w:t>
      </w:r>
      <w:r>
        <w:rPr>
          <w:rFonts w:hint="eastAsia" w:ascii="Times New Roman" w:hAnsi="Times New Roman"/>
          <w:spacing w:val="20"/>
          <w:sz w:val="32"/>
          <w:szCs w:val="32"/>
          <w:highlight w:val="none"/>
        </w:rPr>
        <w:t>未经批准在相关科学技术活动实施单位兼职；</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spacing w:val="20"/>
          <w:sz w:val="32"/>
          <w:szCs w:val="32"/>
          <w:highlight w:val="none"/>
        </w:rPr>
      </w:pPr>
      <w:r>
        <w:rPr>
          <w:rFonts w:hint="eastAsia" w:ascii="Times New Roman" w:hAnsi="Times New Roman"/>
          <w:spacing w:val="20"/>
          <w:sz w:val="32"/>
          <w:szCs w:val="32"/>
          <w:highlight w:val="none"/>
        </w:rPr>
        <w:t>干预咨询评审或向咨询评审专家施加倾向性影响；</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spacing w:val="20"/>
          <w:sz w:val="32"/>
          <w:szCs w:val="32"/>
          <w:highlight w:val="none"/>
          <w:lang w:eastAsia="zh-CN"/>
        </w:rPr>
      </w:pPr>
      <w:r>
        <w:rPr>
          <w:rFonts w:hint="eastAsia" w:ascii="Times New Roman" w:hAnsi="Times New Roman"/>
          <w:spacing w:val="20"/>
          <w:sz w:val="32"/>
          <w:szCs w:val="32"/>
          <w:highlight w:val="none"/>
        </w:rPr>
        <w:t>内部管理混乱</w:t>
      </w:r>
      <w:r>
        <w:rPr>
          <w:rFonts w:hint="eastAsia" w:ascii="Times New Roman" w:hAnsi="Times New Roman" w:cs="Times New Roman"/>
          <w:spacing w:val="20"/>
          <w:sz w:val="32"/>
          <w:szCs w:val="32"/>
          <w:highlight w:val="none"/>
          <w:lang w:eastAsia="zh-CN"/>
        </w:rPr>
        <w:t>、</w:t>
      </w:r>
      <w:r>
        <w:rPr>
          <w:rFonts w:hint="eastAsia" w:ascii="Times New Roman" w:hAnsi="Times New Roman"/>
          <w:spacing w:val="20"/>
          <w:sz w:val="32"/>
          <w:szCs w:val="32"/>
          <w:highlight w:val="none"/>
          <w:lang w:eastAsia="zh-CN"/>
        </w:rPr>
        <w:t>存在管理过失、管理失职</w:t>
      </w:r>
      <w:r>
        <w:rPr>
          <w:rFonts w:hint="eastAsia" w:ascii="Times New Roman" w:hAnsi="Times New Roman"/>
          <w:spacing w:val="20"/>
          <w:sz w:val="32"/>
          <w:szCs w:val="32"/>
          <w:highlight w:val="none"/>
        </w:rPr>
        <w:t>，影响受托</w:t>
      </w:r>
      <w:r>
        <w:rPr>
          <w:rFonts w:hint="eastAsia" w:ascii="Times New Roman" w:hAnsi="Times New Roman"/>
          <w:spacing w:val="20"/>
          <w:sz w:val="32"/>
          <w:szCs w:val="32"/>
          <w:highlight w:val="none"/>
          <w:lang w:eastAsia="zh-CN"/>
        </w:rPr>
        <w:t>相关</w:t>
      </w:r>
      <w:r>
        <w:rPr>
          <w:rFonts w:hint="eastAsia" w:ascii="Times New Roman" w:hAnsi="Times New Roman"/>
          <w:spacing w:val="20"/>
          <w:sz w:val="32"/>
          <w:szCs w:val="32"/>
          <w:highlight w:val="none"/>
        </w:rPr>
        <w:t>工作正常开展</w:t>
      </w:r>
      <w:r>
        <w:rPr>
          <w:rFonts w:hint="eastAsia" w:ascii="Times New Roman" w:hAnsi="Times New Roman" w:cs="Times New Roman"/>
          <w:spacing w:val="20"/>
          <w:sz w:val="32"/>
          <w:szCs w:val="32"/>
          <w:highlight w:val="none"/>
          <w:lang w:eastAsia="zh-CN"/>
        </w:rPr>
        <w:t>、</w:t>
      </w:r>
      <w:r>
        <w:rPr>
          <w:rFonts w:hint="eastAsia" w:ascii="Times New Roman" w:hAnsi="Times New Roman"/>
          <w:spacing w:val="20"/>
          <w:sz w:val="32"/>
          <w:szCs w:val="32"/>
          <w:highlight w:val="none"/>
          <w:lang w:eastAsia="zh-CN"/>
        </w:rPr>
        <w:t>造成负面影响或财政资金损失；</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spacing w:val="20"/>
          <w:sz w:val="32"/>
          <w:szCs w:val="32"/>
          <w:highlight w:val="none"/>
          <w:lang w:val="en" w:eastAsia="zh-CN"/>
        </w:rPr>
      </w:pPr>
      <w:r>
        <w:rPr>
          <w:rFonts w:hint="eastAsia" w:ascii="Times New Roman" w:hAnsi="Times New Roman"/>
          <w:spacing w:val="20"/>
          <w:sz w:val="32"/>
          <w:szCs w:val="32"/>
          <w:highlight w:val="none"/>
        </w:rPr>
        <w:t>设租寻租</w:t>
      </w:r>
      <w:r>
        <w:rPr>
          <w:rFonts w:hint="eastAsia" w:ascii="Times New Roman" w:hAnsi="Times New Roman" w:cs="Times New Roman"/>
          <w:spacing w:val="20"/>
          <w:sz w:val="32"/>
          <w:szCs w:val="32"/>
          <w:highlight w:val="none"/>
          <w:lang w:eastAsia="zh-CN"/>
        </w:rPr>
        <w:t>，</w:t>
      </w:r>
      <w:r>
        <w:rPr>
          <w:rFonts w:hint="eastAsia" w:ascii="Times New Roman" w:hAnsi="Times New Roman"/>
          <w:spacing w:val="20"/>
          <w:sz w:val="32"/>
          <w:szCs w:val="32"/>
          <w:highlight w:val="none"/>
        </w:rPr>
        <w:t>徇私舞弊</w:t>
      </w:r>
      <w:r>
        <w:rPr>
          <w:rFonts w:hint="eastAsia" w:ascii="Times New Roman" w:hAnsi="Times New Roman" w:cs="Times New Roman"/>
          <w:spacing w:val="20"/>
          <w:sz w:val="32"/>
          <w:szCs w:val="32"/>
          <w:highlight w:val="none"/>
          <w:lang w:eastAsia="zh-CN"/>
        </w:rPr>
        <w:t>，</w:t>
      </w:r>
      <w:r>
        <w:rPr>
          <w:rFonts w:hint="eastAsia" w:ascii="Times New Roman" w:hAnsi="Times New Roman"/>
          <w:spacing w:val="20"/>
          <w:sz w:val="32"/>
          <w:szCs w:val="32"/>
          <w:highlight w:val="none"/>
        </w:rPr>
        <w:t>滥用职权</w:t>
      </w:r>
      <w:r>
        <w:rPr>
          <w:rFonts w:hint="eastAsia" w:ascii="Times New Roman" w:hAnsi="Times New Roman" w:cs="Times New Roman"/>
          <w:spacing w:val="20"/>
          <w:sz w:val="32"/>
          <w:szCs w:val="32"/>
          <w:highlight w:val="none"/>
          <w:lang w:eastAsia="zh-CN"/>
        </w:rPr>
        <w:t>，</w:t>
      </w:r>
      <w:r>
        <w:rPr>
          <w:rFonts w:hint="eastAsia" w:ascii="Times New Roman" w:hAnsi="Times New Roman"/>
          <w:spacing w:val="20"/>
          <w:sz w:val="32"/>
          <w:szCs w:val="32"/>
          <w:highlight w:val="none"/>
        </w:rPr>
        <w:t>虚报、冒领、挪用、套取</w:t>
      </w:r>
      <w:r>
        <w:rPr>
          <w:rFonts w:hint="eastAsia" w:ascii="Times New Roman" w:hAnsi="Times New Roman" w:cs="Times New Roman"/>
          <w:spacing w:val="20"/>
          <w:sz w:val="32"/>
          <w:szCs w:val="32"/>
          <w:highlight w:val="none"/>
          <w:lang w:eastAsia="zh-CN"/>
        </w:rPr>
        <w:t>、</w:t>
      </w:r>
      <w:r>
        <w:rPr>
          <w:rFonts w:hint="eastAsia" w:ascii="Times New Roman" w:hAnsi="Times New Roman"/>
          <w:spacing w:val="20"/>
          <w:sz w:val="32"/>
          <w:szCs w:val="32"/>
          <w:highlight w:val="none"/>
        </w:rPr>
        <w:t>私分受托管理的科研资金</w:t>
      </w:r>
      <w:r>
        <w:rPr>
          <w:rFonts w:hint="eastAsia" w:ascii="Times New Roman" w:hAnsi="Times New Roman"/>
          <w:spacing w:val="20"/>
          <w:sz w:val="32"/>
          <w:szCs w:val="32"/>
          <w:highlight w:val="none"/>
          <w:lang w:eastAsia="zh-CN"/>
        </w:rPr>
        <w:t>或</w:t>
      </w:r>
      <w:r>
        <w:rPr>
          <w:rFonts w:hint="eastAsia" w:ascii="Times New Roman" w:hAnsi="Times New Roman"/>
          <w:spacing w:val="20"/>
          <w:sz w:val="32"/>
          <w:szCs w:val="32"/>
          <w:highlight w:val="none"/>
        </w:rPr>
        <w:t>利用组织科学技术活动之便谋取</w:t>
      </w:r>
      <w:r>
        <w:rPr>
          <w:rFonts w:hint="eastAsia" w:ascii="Times New Roman" w:hAnsi="Times New Roman" w:cs="Times New Roman"/>
          <w:spacing w:val="20"/>
          <w:sz w:val="32"/>
          <w:szCs w:val="32"/>
          <w:highlight w:val="none"/>
          <w:lang w:eastAsia="zh-CN"/>
        </w:rPr>
        <w:t>、</w:t>
      </w:r>
      <w:r>
        <w:rPr>
          <w:rFonts w:hint="eastAsia" w:ascii="Times New Roman" w:hAnsi="Times New Roman"/>
          <w:spacing w:val="20"/>
          <w:sz w:val="32"/>
          <w:szCs w:val="32"/>
          <w:highlight w:val="none"/>
        </w:rPr>
        <w:t>索取、收受利益相关方财物或其他不正当利益；</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spacing w:val="20"/>
          <w:sz w:val="32"/>
          <w:szCs w:val="32"/>
          <w:highlight w:val="none"/>
        </w:rPr>
      </w:pPr>
      <w:r>
        <w:rPr>
          <w:rFonts w:hint="eastAsia" w:ascii="Times New Roman" w:hAnsi="Times New Roman"/>
          <w:spacing w:val="20"/>
          <w:sz w:val="32"/>
          <w:szCs w:val="32"/>
          <w:highlight w:val="none"/>
        </w:rPr>
        <w:t>擅自委托他方代替提供科学技术活动相关服务；</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spacing w:val="20"/>
          <w:sz w:val="32"/>
          <w:szCs w:val="32"/>
          <w:highlight w:val="none"/>
        </w:rPr>
      </w:pPr>
      <w:r>
        <w:rPr>
          <w:rFonts w:hint="eastAsia" w:ascii="Times New Roman" w:hAnsi="Times New Roman"/>
          <w:spacing w:val="20"/>
          <w:sz w:val="32"/>
          <w:szCs w:val="32"/>
          <w:highlight w:val="none"/>
        </w:rPr>
        <w:t>出具的咨询或评审评价、评估报告严重失实；</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spacing w:val="20"/>
          <w:sz w:val="32"/>
          <w:szCs w:val="32"/>
          <w:highlight w:val="none"/>
        </w:rPr>
      </w:pPr>
      <w:r>
        <w:rPr>
          <w:rFonts w:hint="eastAsia" w:ascii="Times New Roman" w:hAnsi="Times New Roman"/>
          <w:spacing w:val="20"/>
          <w:sz w:val="32"/>
          <w:szCs w:val="32"/>
          <w:highlight w:val="none"/>
        </w:rPr>
        <w:t>发现项目存在重大事项</w:t>
      </w:r>
      <w:r>
        <w:rPr>
          <w:rFonts w:hint="eastAsia" w:ascii="Times New Roman" w:hAnsi="Times New Roman"/>
          <w:spacing w:val="20"/>
          <w:sz w:val="32"/>
          <w:szCs w:val="32"/>
          <w:highlight w:val="none"/>
          <w:lang w:eastAsia="zh-CN"/>
        </w:rPr>
        <w:t>或</w:t>
      </w:r>
      <w:r>
        <w:rPr>
          <w:rFonts w:hint="eastAsia" w:ascii="Times New Roman" w:hAnsi="Times New Roman"/>
          <w:spacing w:val="20"/>
          <w:sz w:val="32"/>
          <w:szCs w:val="32"/>
          <w:highlight w:val="none"/>
        </w:rPr>
        <w:t>违规违纪情况未及时报告；</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spacing w:val="20"/>
          <w:sz w:val="32"/>
          <w:szCs w:val="32"/>
          <w:highlight w:val="none"/>
        </w:rPr>
      </w:pPr>
      <w:r>
        <w:rPr>
          <w:rFonts w:hint="eastAsia" w:ascii="Times New Roman" w:hAnsi="Times New Roman"/>
          <w:spacing w:val="20"/>
          <w:sz w:val="32"/>
          <w:szCs w:val="32"/>
          <w:highlight w:val="none"/>
        </w:rPr>
        <w:t>违反相关规定或制度、违反委托合同</w:t>
      </w:r>
      <w:r>
        <w:rPr>
          <w:rFonts w:hint="eastAsia" w:ascii="Times New Roman" w:hAnsi="Times New Roman"/>
          <w:spacing w:val="20"/>
          <w:sz w:val="32"/>
          <w:szCs w:val="32"/>
          <w:highlight w:val="none"/>
          <w:lang w:eastAsia="zh-CN"/>
        </w:rPr>
        <w:t>（协议）</w:t>
      </w:r>
      <w:r>
        <w:rPr>
          <w:rFonts w:hint="eastAsia" w:ascii="Times New Roman" w:hAnsi="Times New Roman"/>
          <w:spacing w:val="20"/>
          <w:sz w:val="32"/>
          <w:szCs w:val="32"/>
          <w:highlight w:val="none"/>
        </w:rPr>
        <w:t>约定，导致项目无法验收或发生严重违规违纪问题；</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spacing w:val="20"/>
          <w:sz w:val="32"/>
          <w:szCs w:val="32"/>
          <w:highlight w:val="none"/>
        </w:rPr>
      </w:pPr>
      <w:r>
        <w:rPr>
          <w:rFonts w:hint="eastAsia" w:ascii="Times New Roman" w:hAnsi="Times New Roman"/>
          <w:spacing w:val="20"/>
          <w:sz w:val="32"/>
          <w:szCs w:val="32"/>
          <w:highlight w:val="none"/>
        </w:rPr>
        <w:t>泄露科学技术活动评审与管理相关信息、资料等行为；</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spacing w:val="20"/>
          <w:sz w:val="32"/>
          <w:szCs w:val="32"/>
          <w:highlight w:val="none"/>
        </w:rPr>
      </w:pPr>
      <w:r>
        <w:rPr>
          <w:rFonts w:hint="eastAsia" w:ascii="Times New Roman" w:hAnsi="Times New Roman"/>
          <w:spacing w:val="20"/>
          <w:sz w:val="32"/>
          <w:szCs w:val="32"/>
          <w:highlight w:val="none"/>
        </w:rPr>
        <w:t>隐性提高、降低或变更评审、评价、评估标准，非必要扩大评估材料收集范围和参与人员范围；</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spacing w:val="20"/>
          <w:sz w:val="32"/>
          <w:szCs w:val="32"/>
          <w:highlight w:val="none"/>
        </w:rPr>
      </w:pPr>
      <w:r>
        <w:rPr>
          <w:rFonts w:hint="eastAsia" w:ascii="Times New Roman" w:hAnsi="Times New Roman"/>
          <w:spacing w:val="20"/>
          <w:sz w:val="32"/>
          <w:szCs w:val="32"/>
          <w:highlight w:val="none"/>
        </w:rPr>
        <w:t>擅自公开利用参与科技服务工作获得的非公开技术、商业信息、科研人员个人信息等；</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spacing w:val="20"/>
          <w:sz w:val="32"/>
          <w:szCs w:val="32"/>
          <w:highlight w:val="none"/>
        </w:rPr>
      </w:pPr>
      <w:r>
        <w:rPr>
          <w:rFonts w:hint="eastAsia" w:ascii="Times New Roman" w:hAnsi="Times New Roman"/>
          <w:spacing w:val="20"/>
          <w:sz w:val="32"/>
          <w:szCs w:val="32"/>
          <w:highlight w:val="none"/>
        </w:rPr>
        <w:t>隐瞒、包庇科学技术活动中相关单位或人员的违法违规行为；</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spacing w:val="20"/>
          <w:sz w:val="32"/>
          <w:szCs w:val="32"/>
          <w:highlight w:val="none"/>
          <w:lang w:eastAsia="zh-CN"/>
        </w:rPr>
      </w:pPr>
      <w:r>
        <w:rPr>
          <w:rFonts w:hint="eastAsia" w:ascii="Times New Roman" w:hAnsi="Times New Roman"/>
          <w:spacing w:val="20"/>
          <w:sz w:val="32"/>
          <w:szCs w:val="32"/>
          <w:highlight w:val="none"/>
        </w:rPr>
        <w:t>不配合监督检查或评估评价工作，不整改、虚假整改或整改未达到要求；</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spacing w:val="20"/>
          <w:sz w:val="32"/>
          <w:szCs w:val="32"/>
          <w:highlight w:val="none"/>
        </w:rPr>
      </w:pPr>
      <w:r>
        <w:rPr>
          <w:rFonts w:hint="eastAsia" w:ascii="Times New Roman" w:hAnsi="Times New Roman"/>
          <w:spacing w:val="20"/>
          <w:sz w:val="32"/>
          <w:szCs w:val="32"/>
          <w:highlight w:val="none"/>
        </w:rPr>
        <w:t>违反科研活动事项保密相关规定；</w:t>
      </w:r>
    </w:p>
    <w:p>
      <w:pPr>
        <w:pStyle w:val="11"/>
        <w:widowControl w:val="0"/>
        <w:numPr>
          <w:ilvl w:val="0"/>
          <w:numId w:val="6"/>
        </w:numPr>
        <w:overflowPunct w:val="0"/>
        <w:spacing w:beforeAutospacing="0" w:afterAutospacing="0" w:line="560" w:lineRule="exact"/>
        <w:ind w:firstLine="720" w:firstLineChars="200"/>
        <w:jc w:val="both"/>
        <w:rPr>
          <w:rFonts w:hint="eastAsia" w:ascii="Times New Roman" w:hAnsi="Times New Roman"/>
          <w:spacing w:val="20"/>
          <w:sz w:val="32"/>
          <w:szCs w:val="32"/>
          <w:highlight w:val="none"/>
        </w:rPr>
      </w:pPr>
      <w:r>
        <w:rPr>
          <w:rFonts w:hint="eastAsia" w:ascii="Times New Roman" w:hAnsi="Times New Roman"/>
          <w:spacing w:val="20"/>
          <w:sz w:val="32"/>
          <w:szCs w:val="32"/>
          <w:highlight w:val="none"/>
        </w:rPr>
        <w:t>其他科研失信行为。</w:t>
      </w:r>
    </w:p>
    <w:p>
      <w:pPr>
        <w:pStyle w:val="11"/>
        <w:widowControl w:val="0"/>
        <w:overflowPunct w:val="0"/>
        <w:spacing w:beforeAutospacing="0" w:afterAutospacing="0" w:line="560" w:lineRule="exact"/>
        <w:ind w:firstLine="720" w:firstLineChars="200"/>
        <w:jc w:val="both"/>
        <w:rPr>
          <w:rFonts w:hint="eastAsia" w:ascii="Times New Roman" w:hAnsi="Times New Roman"/>
          <w:spacing w:val="20"/>
          <w:kern w:val="0"/>
          <w:sz w:val="32"/>
          <w:szCs w:val="32"/>
          <w:highlight w:val="none"/>
        </w:rPr>
      </w:pPr>
    </w:p>
    <w:p>
      <w:pPr>
        <w:overflowPunct w:val="0"/>
        <w:spacing w:line="560" w:lineRule="exact"/>
        <w:jc w:val="center"/>
        <w:rPr>
          <w:rFonts w:ascii="Times New Roman" w:hAnsi="Times New Roman"/>
          <w:szCs w:val="32"/>
          <w:highlight w:val="none"/>
        </w:rPr>
      </w:pPr>
      <w:r>
        <w:rPr>
          <w:rFonts w:ascii="Times New Roman" w:hAnsi="Times New Roman" w:eastAsia="黑体"/>
          <w:szCs w:val="32"/>
          <w:highlight w:val="none"/>
        </w:rPr>
        <w:t>第四章 案件调查</w:t>
      </w:r>
    </w:p>
    <w:p>
      <w:pPr>
        <w:pStyle w:val="11"/>
        <w:widowControl w:val="0"/>
        <w:numPr>
          <w:ilvl w:val="0"/>
          <w:numId w:val="2"/>
        </w:numPr>
        <w:tabs>
          <w:tab w:val="left" w:pos="236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科研诚信案件是指根据举报或其他相关线索，对涉嫌违背科研诚信要求的行为开展调查并作出处理的案件。</w:t>
      </w:r>
      <w:r>
        <w:rPr>
          <w:rFonts w:hint="eastAsia" w:ascii="Times New Roman" w:hAnsi="Times New Roman"/>
          <w:kern w:val="2"/>
          <w:sz w:val="32"/>
          <w:szCs w:val="32"/>
          <w:highlight w:val="none"/>
        </w:rPr>
        <w:t>市科技局</w:t>
      </w:r>
      <w:r>
        <w:rPr>
          <w:rFonts w:ascii="Times New Roman" w:hAnsi="Times New Roman"/>
          <w:kern w:val="2"/>
          <w:sz w:val="32"/>
          <w:szCs w:val="32"/>
          <w:highlight w:val="none"/>
        </w:rPr>
        <w:t>负责受理科研活动失信行为的举报，保护举报人的合法权益</w:t>
      </w:r>
      <w:r>
        <w:rPr>
          <w:rFonts w:hint="eastAsia" w:ascii="Times New Roman" w:hAnsi="Times New Roman"/>
          <w:kern w:val="2"/>
          <w:sz w:val="32"/>
          <w:szCs w:val="32"/>
          <w:highlight w:val="none"/>
        </w:rPr>
        <w:t>；根据在科研活动监督管理过程中发现的相关线索，对涉嫌失信行为立案调查。</w:t>
      </w:r>
      <w:r>
        <w:rPr>
          <w:rFonts w:ascii="Times New Roman" w:hAnsi="Times New Roman"/>
          <w:kern w:val="2"/>
          <w:sz w:val="32"/>
          <w:szCs w:val="32"/>
          <w:highlight w:val="none"/>
        </w:rPr>
        <w:t>各</w:t>
      </w:r>
      <w:r>
        <w:rPr>
          <w:rFonts w:hint="eastAsia" w:ascii="Times New Roman" w:hAnsi="Times New Roman"/>
          <w:kern w:val="2"/>
          <w:sz w:val="32"/>
          <w:szCs w:val="32"/>
          <w:highlight w:val="none"/>
        </w:rPr>
        <w:t>镇街（园区）</w:t>
      </w:r>
      <w:r>
        <w:rPr>
          <w:rFonts w:ascii="Times New Roman" w:hAnsi="Times New Roman"/>
          <w:kern w:val="2"/>
          <w:sz w:val="32"/>
          <w:szCs w:val="32"/>
          <w:highlight w:val="none"/>
        </w:rPr>
        <w:t>科技主管部门</w:t>
      </w:r>
      <w:r>
        <w:rPr>
          <w:rFonts w:hint="eastAsia" w:ascii="Times New Roman" w:hAnsi="Times New Roman"/>
          <w:kern w:val="2"/>
          <w:sz w:val="32"/>
          <w:szCs w:val="32"/>
          <w:highlight w:val="none"/>
        </w:rPr>
        <w:t>配合市科技局</w:t>
      </w:r>
      <w:r>
        <w:rPr>
          <w:rFonts w:ascii="Times New Roman" w:hAnsi="Times New Roman"/>
          <w:kern w:val="2"/>
          <w:sz w:val="32"/>
          <w:szCs w:val="32"/>
          <w:highlight w:val="none"/>
        </w:rPr>
        <w:t>对本级职权范围内的案件</w:t>
      </w:r>
      <w:r>
        <w:rPr>
          <w:rFonts w:hint="eastAsia" w:ascii="Times New Roman" w:hAnsi="Times New Roman"/>
          <w:kern w:val="2"/>
          <w:sz w:val="32"/>
          <w:szCs w:val="32"/>
          <w:highlight w:val="none"/>
        </w:rPr>
        <w:t>进行</w:t>
      </w:r>
      <w:r>
        <w:rPr>
          <w:rFonts w:ascii="Times New Roman" w:hAnsi="Times New Roman"/>
          <w:kern w:val="2"/>
          <w:sz w:val="32"/>
          <w:szCs w:val="32"/>
          <w:highlight w:val="none"/>
        </w:rPr>
        <w:t>调查处理。</w:t>
      </w:r>
    </w:p>
    <w:p>
      <w:pPr>
        <w:pStyle w:val="11"/>
        <w:widowControl w:val="0"/>
        <w:numPr>
          <w:ilvl w:val="0"/>
          <w:numId w:val="2"/>
        </w:numPr>
        <w:tabs>
          <w:tab w:val="left" w:pos="236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对同时符合下列情形的举报应及时受理：</w:t>
      </w:r>
    </w:p>
    <w:p>
      <w:pPr>
        <w:pStyle w:val="11"/>
        <w:widowControl w:val="0"/>
        <w:numPr>
          <w:ilvl w:val="0"/>
          <w:numId w:val="7"/>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有正确联系方式的；</w:t>
      </w:r>
    </w:p>
    <w:p>
      <w:pPr>
        <w:pStyle w:val="11"/>
        <w:widowControl w:val="0"/>
        <w:numPr>
          <w:ilvl w:val="0"/>
          <w:numId w:val="7"/>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有明确举报对象和清晰违规事实的；</w:t>
      </w:r>
    </w:p>
    <w:p>
      <w:pPr>
        <w:pStyle w:val="11"/>
        <w:widowControl w:val="0"/>
        <w:numPr>
          <w:ilvl w:val="0"/>
          <w:numId w:val="7"/>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有客观证据材料或者调查线索的。</w:t>
      </w:r>
    </w:p>
    <w:p>
      <w:pPr>
        <w:pStyle w:val="11"/>
        <w:widowControl w:val="0"/>
        <w:overflowPunct w:val="0"/>
        <w:spacing w:beforeAutospacing="0" w:afterAutospacing="0" w:line="560" w:lineRule="exact"/>
        <w:ind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鼓励实名举报，不得恶意举报、诬陷举报。</w:t>
      </w:r>
    </w:p>
    <w:p>
      <w:pPr>
        <w:pStyle w:val="11"/>
        <w:widowControl w:val="0"/>
        <w:numPr>
          <w:ilvl w:val="0"/>
          <w:numId w:val="2"/>
        </w:numPr>
        <w:tabs>
          <w:tab w:val="left" w:pos="236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下列科研诚信案件线索，</w:t>
      </w:r>
      <w:r>
        <w:rPr>
          <w:rFonts w:hint="eastAsia" w:ascii="Times New Roman" w:hAnsi="Times New Roman"/>
          <w:kern w:val="2"/>
          <w:sz w:val="32"/>
          <w:szCs w:val="32"/>
          <w:highlight w:val="none"/>
        </w:rPr>
        <w:t>市</w:t>
      </w:r>
      <w:r>
        <w:rPr>
          <w:rFonts w:ascii="Times New Roman" w:hAnsi="Times New Roman"/>
          <w:kern w:val="2"/>
          <w:sz w:val="32"/>
          <w:szCs w:val="32"/>
          <w:highlight w:val="none"/>
        </w:rPr>
        <w:t>科技</w:t>
      </w:r>
      <w:r>
        <w:rPr>
          <w:rFonts w:hint="eastAsia" w:ascii="Times New Roman" w:hAnsi="Times New Roman"/>
          <w:kern w:val="2"/>
          <w:sz w:val="32"/>
          <w:szCs w:val="32"/>
          <w:highlight w:val="none"/>
        </w:rPr>
        <w:t>局</w:t>
      </w:r>
      <w:r>
        <w:rPr>
          <w:rFonts w:ascii="Times New Roman" w:hAnsi="Times New Roman"/>
          <w:kern w:val="2"/>
          <w:sz w:val="32"/>
          <w:szCs w:val="32"/>
          <w:highlight w:val="none"/>
        </w:rPr>
        <w:t>应主动受理，并加强督查：</w:t>
      </w:r>
    </w:p>
    <w:p>
      <w:pPr>
        <w:pStyle w:val="11"/>
        <w:widowControl w:val="0"/>
        <w:numPr>
          <w:ilvl w:val="0"/>
          <w:numId w:val="8"/>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上级机关或有关部门移送的线索；</w:t>
      </w:r>
    </w:p>
    <w:p>
      <w:pPr>
        <w:pStyle w:val="11"/>
        <w:widowControl w:val="0"/>
        <w:numPr>
          <w:ilvl w:val="0"/>
          <w:numId w:val="8"/>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在日常科研管理活动中或科技计划、科技奖励、科技人才管理等工作中发现的问题和线索；</w:t>
      </w:r>
    </w:p>
    <w:p>
      <w:pPr>
        <w:pStyle w:val="11"/>
        <w:widowControl w:val="0"/>
        <w:numPr>
          <w:ilvl w:val="0"/>
          <w:numId w:val="8"/>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媒体披露的科研失信行为线索。</w:t>
      </w:r>
    </w:p>
    <w:p>
      <w:pPr>
        <w:pStyle w:val="11"/>
        <w:widowControl w:val="0"/>
        <w:numPr>
          <w:ilvl w:val="0"/>
          <w:numId w:val="2"/>
        </w:numPr>
        <w:tabs>
          <w:tab w:val="left" w:pos="236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hint="eastAsia" w:ascii="Times New Roman" w:hAnsi="Times New Roman"/>
          <w:kern w:val="2"/>
          <w:sz w:val="32"/>
          <w:szCs w:val="32"/>
          <w:highlight w:val="none"/>
        </w:rPr>
        <w:t>市科技局</w:t>
      </w:r>
      <w:r>
        <w:rPr>
          <w:rFonts w:ascii="Times New Roman" w:hAnsi="Times New Roman"/>
          <w:kern w:val="2"/>
          <w:sz w:val="32"/>
          <w:szCs w:val="32"/>
          <w:highlight w:val="none"/>
        </w:rPr>
        <w:t>对举报或其他相关线索进行核实，符合受理条件的，应及时组织调查。案件调查主要针对案件的事实情况开展，包括对相关原始数据、协议、发票等证明材料和研究过程、获利情况等进行核对验证。对于专业性较强的案件，根据需要由案件涉及领域的同行科技专家、管理专家、科研伦理专家等组成专家组，对案件涉及的学术问题进行评议。</w:t>
      </w:r>
    </w:p>
    <w:p>
      <w:pPr>
        <w:pStyle w:val="11"/>
        <w:widowControl w:val="0"/>
        <w:overflowPunct w:val="0"/>
        <w:spacing w:beforeAutospacing="0" w:afterAutospacing="0" w:line="560" w:lineRule="exact"/>
        <w:ind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调查过程中发现涉嫌违法犯罪的，移交司法机关查处。</w:t>
      </w:r>
    </w:p>
    <w:p>
      <w:pPr>
        <w:pStyle w:val="11"/>
        <w:widowControl w:val="0"/>
        <w:numPr>
          <w:ilvl w:val="0"/>
          <w:numId w:val="2"/>
        </w:numPr>
        <w:tabs>
          <w:tab w:val="left" w:pos="236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科研诚信案件被调查人和证人等应积极配合调查，如实说明情况，提供相关证据，不得隐匿、销毁证据材料。任何单位和个人不得阻挠、干扰科研诚信案件的调查处理，不得推诿包庇。调查处理应严格执行回避制度。</w:t>
      </w:r>
    </w:p>
    <w:p>
      <w:pPr>
        <w:pStyle w:val="11"/>
        <w:widowControl w:val="0"/>
        <w:numPr>
          <w:ilvl w:val="0"/>
          <w:numId w:val="2"/>
        </w:numPr>
        <w:tabs>
          <w:tab w:val="left" w:pos="236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调查需要与被调查人、证人等谈话的，参与谈话的调查人员不得少于2人，谈话内容应书面记录，并经谈话人和谈话对象签字确认，在履行告知程序后可录音、录像。</w:t>
      </w:r>
    </w:p>
    <w:p>
      <w:pPr>
        <w:pStyle w:val="11"/>
        <w:widowControl w:val="0"/>
        <w:overflowPunct w:val="0"/>
        <w:spacing w:beforeAutospacing="0" w:afterAutospacing="0" w:line="560" w:lineRule="exact"/>
        <w:ind w:left="0" w:firstLine="672" w:firstLineChars="200"/>
        <w:jc w:val="both"/>
        <w:rPr>
          <w:rFonts w:hint="eastAsia" w:ascii="Times New Roman" w:hAnsi="Times New Roman"/>
          <w:kern w:val="2"/>
          <w:sz w:val="32"/>
          <w:szCs w:val="32"/>
          <w:highlight w:val="none"/>
        </w:rPr>
      </w:pPr>
      <w:r>
        <w:rPr>
          <w:rFonts w:hint="eastAsia" w:ascii="Times New Roman" w:hAnsi="Times New Roman"/>
          <w:kern w:val="2"/>
          <w:sz w:val="32"/>
          <w:szCs w:val="32"/>
          <w:highlight w:val="none"/>
        </w:rPr>
        <w:t>调查中应当听取被调查人的陈述和申辩，对有关事实、理由和证据进行核实。可根据需要要求举报人补充提供材料，必要时经举报人同意可组织举报人与被调查人当面质证。严禁以威胁、引诱、欺骗以及其他非法手段收集证据。</w:t>
      </w:r>
    </w:p>
    <w:p>
      <w:pPr>
        <w:pStyle w:val="11"/>
        <w:widowControl w:val="0"/>
        <w:overflowPunct w:val="0"/>
        <w:spacing w:beforeAutospacing="0" w:afterAutospacing="0" w:line="560" w:lineRule="exact"/>
        <w:ind w:firstLine="672" w:firstLineChars="200"/>
        <w:jc w:val="both"/>
        <w:rPr>
          <w:rFonts w:hint="eastAsia" w:ascii="Times New Roman" w:hAnsi="Times New Roman"/>
          <w:kern w:val="2"/>
          <w:sz w:val="32"/>
          <w:szCs w:val="32"/>
          <w:highlight w:val="none"/>
        </w:rPr>
      </w:pPr>
      <w:r>
        <w:rPr>
          <w:rFonts w:hint="eastAsia" w:ascii="Times New Roman" w:hAnsi="Times New Roman"/>
          <w:kern w:val="2"/>
          <w:sz w:val="32"/>
          <w:szCs w:val="32"/>
          <w:highlight w:val="none"/>
        </w:rPr>
        <w:t>调查人员可按规定和程序调阅、摘抄、复印、封存相关资料、设备。调阅、封存的相关资料、设备应书面记录，并由调查人员和资料、设备管理人签字确认。</w:t>
      </w:r>
    </w:p>
    <w:p>
      <w:pPr>
        <w:pStyle w:val="11"/>
        <w:widowControl w:val="0"/>
        <w:numPr>
          <w:ilvl w:val="0"/>
          <w:numId w:val="2"/>
        </w:numPr>
        <w:tabs>
          <w:tab w:val="left" w:pos="268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hint="eastAsia" w:ascii="Times New Roman" w:hAnsi="Times New Roman"/>
          <w:kern w:val="2"/>
          <w:sz w:val="32"/>
          <w:szCs w:val="32"/>
          <w:highlight w:val="none"/>
        </w:rPr>
        <w:t>市科技局</w:t>
      </w:r>
      <w:r>
        <w:rPr>
          <w:rFonts w:ascii="Times New Roman" w:hAnsi="Times New Roman"/>
          <w:kern w:val="2"/>
          <w:sz w:val="32"/>
          <w:szCs w:val="32"/>
          <w:highlight w:val="none"/>
        </w:rPr>
        <w:t>根据调查认定的事实、性质、情节等，作出处理决定，并将案件调查处理</w:t>
      </w:r>
      <w:r>
        <w:rPr>
          <w:rFonts w:hint="eastAsia" w:ascii="Times New Roman" w:hAnsi="Times New Roman"/>
          <w:kern w:val="2"/>
          <w:sz w:val="32"/>
          <w:szCs w:val="32"/>
          <w:highlight w:val="none"/>
        </w:rPr>
        <w:t>决定及时</w:t>
      </w:r>
      <w:r>
        <w:rPr>
          <w:rFonts w:ascii="Times New Roman" w:hAnsi="Times New Roman"/>
          <w:kern w:val="2"/>
          <w:sz w:val="32"/>
          <w:szCs w:val="32"/>
          <w:highlight w:val="none"/>
        </w:rPr>
        <w:t>告知举报人和相关责任主体。</w:t>
      </w:r>
      <w:r>
        <w:rPr>
          <w:rFonts w:ascii="Times New Roman" w:hAnsi="Times New Roman"/>
          <w:sz w:val="32"/>
          <w:szCs w:val="32"/>
          <w:highlight w:val="none"/>
        </w:rPr>
        <w:t>对于责任主体为自然人的，要同时向其所在单位通报。</w:t>
      </w:r>
    </w:p>
    <w:p>
      <w:pPr>
        <w:pStyle w:val="11"/>
        <w:widowControl w:val="0"/>
        <w:numPr>
          <w:ilvl w:val="0"/>
          <w:numId w:val="2"/>
        </w:numPr>
        <w:tabs>
          <w:tab w:val="left" w:pos="2688"/>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建立复</w:t>
      </w:r>
      <w:r>
        <w:rPr>
          <w:rFonts w:hint="eastAsia" w:ascii="Times New Roman" w:hAnsi="Times New Roman"/>
          <w:kern w:val="2"/>
          <w:sz w:val="32"/>
          <w:szCs w:val="32"/>
          <w:highlight w:val="none"/>
          <w:lang w:eastAsia="zh-CN"/>
        </w:rPr>
        <w:t>查</w:t>
      </w:r>
      <w:r>
        <w:rPr>
          <w:rFonts w:ascii="Times New Roman" w:hAnsi="Times New Roman"/>
          <w:kern w:val="2"/>
          <w:sz w:val="32"/>
          <w:szCs w:val="32"/>
          <w:highlight w:val="none"/>
        </w:rPr>
        <w:t>申请机制，相关责任主体对</w:t>
      </w:r>
      <w:r>
        <w:rPr>
          <w:rFonts w:hint="eastAsia" w:ascii="Times New Roman" w:hAnsi="Times New Roman"/>
          <w:kern w:val="2"/>
          <w:sz w:val="32"/>
          <w:szCs w:val="32"/>
          <w:highlight w:val="none"/>
          <w:lang w:eastAsia="zh-CN"/>
        </w:rPr>
        <w:t>市科技局作出的</w:t>
      </w:r>
      <w:r>
        <w:rPr>
          <w:rFonts w:ascii="Times New Roman" w:hAnsi="Times New Roman"/>
          <w:kern w:val="2"/>
          <w:sz w:val="32"/>
          <w:szCs w:val="32"/>
          <w:highlight w:val="none"/>
        </w:rPr>
        <w:t>案件调查处理意见如有异议，可在收到处理意见之日起15</w:t>
      </w:r>
      <w:r>
        <w:rPr>
          <w:rFonts w:hint="eastAsia" w:ascii="Times New Roman" w:hAnsi="Times New Roman"/>
          <w:kern w:val="2"/>
          <w:sz w:val="32"/>
          <w:szCs w:val="32"/>
          <w:highlight w:val="none"/>
          <w:lang w:eastAsia="zh-CN"/>
        </w:rPr>
        <w:t>个工作日</w:t>
      </w:r>
      <w:r>
        <w:rPr>
          <w:rFonts w:ascii="Times New Roman" w:hAnsi="Times New Roman"/>
          <w:kern w:val="2"/>
          <w:sz w:val="32"/>
          <w:szCs w:val="32"/>
          <w:highlight w:val="none"/>
        </w:rPr>
        <w:t>内</w:t>
      </w:r>
      <w:r>
        <w:rPr>
          <w:rFonts w:hint="eastAsia" w:ascii="Times New Roman" w:hAnsi="Times New Roman"/>
          <w:kern w:val="2"/>
          <w:sz w:val="32"/>
          <w:szCs w:val="32"/>
          <w:highlight w:val="none"/>
          <w:lang w:eastAsia="zh-CN"/>
        </w:rPr>
        <w:t>向市科技局书面</w:t>
      </w:r>
      <w:r>
        <w:rPr>
          <w:rFonts w:ascii="Times New Roman" w:hAnsi="Times New Roman"/>
          <w:kern w:val="2"/>
          <w:sz w:val="32"/>
          <w:szCs w:val="32"/>
          <w:highlight w:val="none"/>
        </w:rPr>
        <w:t>提出复</w:t>
      </w:r>
      <w:r>
        <w:rPr>
          <w:rFonts w:hint="eastAsia" w:ascii="Times New Roman" w:hAnsi="Times New Roman"/>
          <w:kern w:val="2"/>
          <w:sz w:val="32"/>
          <w:szCs w:val="32"/>
          <w:highlight w:val="none"/>
          <w:lang w:eastAsia="zh-CN"/>
        </w:rPr>
        <w:t>查</w:t>
      </w:r>
      <w:r>
        <w:rPr>
          <w:rFonts w:ascii="Times New Roman" w:hAnsi="Times New Roman"/>
          <w:kern w:val="2"/>
          <w:sz w:val="32"/>
          <w:szCs w:val="32"/>
          <w:highlight w:val="none"/>
        </w:rPr>
        <w:t>申请</w:t>
      </w:r>
      <w:r>
        <w:rPr>
          <w:rFonts w:hint="eastAsia" w:ascii="Times New Roman" w:hAnsi="Times New Roman"/>
          <w:kern w:val="2"/>
          <w:sz w:val="32"/>
          <w:szCs w:val="32"/>
          <w:highlight w:val="none"/>
          <w:lang w:eastAsia="zh-CN"/>
        </w:rPr>
        <w:t>，写明理由并提供相关证据线索</w:t>
      </w:r>
      <w:r>
        <w:rPr>
          <w:rFonts w:ascii="Times New Roman" w:hAnsi="Times New Roman"/>
          <w:kern w:val="2"/>
          <w:sz w:val="32"/>
          <w:szCs w:val="32"/>
          <w:highlight w:val="none"/>
        </w:rPr>
        <w:t>。</w:t>
      </w:r>
    </w:p>
    <w:p>
      <w:pPr>
        <w:pStyle w:val="11"/>
        <w:widowControl w:val="0"/>
        <w:numPr>
          <w:ilvl w:val="-1"/>
          <w:numId w:val="0"/>
        </w:numPr>
        <w:overflowPunct w:val="0"/>
        <w:spacing w:beforeAutospacing="0" w:afterAutospacing="0" w:line="560" w:lineRule="exact"/>
        <w:ind w:left="0" w:firstLine="672" w:firstLineChars="200"/>
        <w:jc w:val="both"/>
        <w:rPr>
          <w:rFonts w:hint="eastAsia" w:ascii="Times New Roman" w:hAnsi="Times New Roman" w:cs="Times New Roman"/>
          <w:kern w:val="2"/>
          <w:sz w:val="32"/>
          <w:szCs w:val="32"/>
          <w:highlight w:val="none"/>
          <w:lang w:val="en-US" w:eastAsia="zh-CN"/>
        </w:rPr>
      </w:pPr>
      <w:r>
        <w:rPr>
          <w:rFonts w:hint="eastAsia" w:ascii="Times New Roman" w:hAnsi="Times New Roman" w:cs="Times New Roman"/>
          <w:kern w:val="2"/>
          <w:sz w:val="32"/>
          <w:szCs w:val="32"/>
          <w:highlight w:val="none"/>
        </w:rPr>
        <w:t>市科技局</w:t>
      </w:r>
      <w:r>
        <w:rPr>
          <w:rFonts w:hint="eastAsia" w:ascii="Times New Roman" w:hAnsi="Times New Roman" w:cs="Times New Roman"/>
          <w:kern w:val="2"/>
          <w:sz w:val="32"/>
          <w:szCs w:val="32"/>
          <w:highlight w:val="none"/>
          <w:lang w:eastAsia="zh-CN"/>
        </w:rPr>
        <w:t>在收到复查申请之日起</w:t>
      </w:r>
      <w:r>
        <w:rPr>
          <w:rFonts w:hint="eastAsia" w:ascii="Times New Roman" w:hAnsi="Times New Roman" w:cs="Times New Roman"/>
          <w:kern w:val="2"/>
          <w:sz w:val="32"/>
          <w:szCs w:val="32"/>
          <w:highlight w:val="none"/>
          <w:lang w:val="en-US" w:eastAsia="zh-CN"/>
        </w:rPr>
        <w:t>15个工作日内作出是否受理决定并告知申请人，不予受理的应说明情况。仅以对调查处理结果或复查结果有异议为由，不能说明其他理由并提供充分证据，或以同一事实和理由提出复查申请的，不予受理。</w:t>
      </w:r>
    </w:p>
    <w:p>
      <w:pPr>
        <w:pStyle w:val="11"/>
        <w:widowControl w:val="0"/>
        <w:numPr>
          <w:ilvl w:val="-1"/>
          <w:numId w:val="0"/>
        </w:numPr>
        <w:overflowPunct w:val="0"/>
        <w:spacing w:beforeAutospacing="0" w:afterAutospacing="0" w:line="560" w:lineRule="exact"/>
        <w:ind w:left="0" w:firstLine="672" w:firstLineChars="200"/>
        <w:jc w:val="both"/>
        <w:rPr>
          <w:rFonts w:hint="eastAsia" w:ascii="Times New Roman" w:hAnsi="Times New Roman" w:cs="Times New Roman"/>
          <w:kern w:val="2"/>
          <w:sz w:val="32"/>
          <w:szCs w:val="32"/>
          <w:highlight w:val="none"/>
        </w:rPr>
      </w:pPr>
      <w:r>
        <w:rPr>
          <w:rFonts w:hint="eastAsia" w:ascii="Times New Roman" w:hAnsi="Times New Roman" w:cs="Times New Roman"/>
          <w:kern w:val="2"/>
          <w:sz w:val="32"/>
          <w:szCs w:val="32"/>
          <w:highlight w:val="none"/>
          <w:lang w:val="en-US" w:eastAsia="zh-CN"/>
        </w:rPr>
        <w:t>决定受理的，市科技局在</w:t>
      </w:r>
      <w:r>
        <w:rPr>
          <w:rFonts w:hint="eastAsia" w:ascii="Times New Roman" w:hAnsi="Times New Roman" w:cs="Times New Roman"/>
          <w:kern w:val="2"/>
          <w:sz w:val="32"/>
          <w:szCs w:val="32"/>
          <w:highlight w:val="none"/>
        </w:rPr>
        <w:t>自</w:t>
      </w:r>
      <w:r>
        <w:rPr>
          <w:rFonts w:hint="eastAsia" w:ascii="Times New Roman" w:hAnsi="Times New Roman" w:cs="Times New Roman"/>
          <w:kern w:val="2"/>
          <w:sz w:val="32"/>
          <w:szCs w:val="32"/>
          <w:highlight w:val="none"/>
          <w:lang w:eastAsia="zh-CN"/>
        </w:rPr>
        <w:t>受理</w:t>
      </w:r>
      <w:r>
        <w:rPr>
          <w:rFonts w:hint="eastAsia" w:ascii="Times New Roman" w:hAnsi="Times New Roman" w:cs="Times New Roman"/>
          <w:kern w:val="2"/>
          <w:sz w:val="32"/>
          <w:szCs w:val="32"/>
          <w:highlight w:val="none"/>
        </w:rPr>
        <w:t>复核申请之日起</w:t>
      </w:r>
      <w:r>
        <w:rPr>
          <w:rFonts w:hint="eastAsia" w:ascii="Times New Roman" w:hAnsi="Times New Roman" w:cs="Times New Roman"/>
          <w:kern w:val="2"/>
          <w:sz w:val="32"/>
          <w:szCs w:val="32"/>
          <w:highlight w:val="none"/>
          <w:lang w:val="en-US" w:eastAsia="zh-CN"/>
        </w:rPr>
        <w:t>90</w:t>
      </w:r>
      <w:r>
        <w:rPr>
          <w:rFonts w:hint="eastAsia" w:ascii="Times New Roman" w:hAnsi="Times New Roman" w:cs="Times New Roman"/>
          <w:kern w:val="2"/>
          <w:sz w:val="32"/>
          <w:szCs w:val="32"/>
          <w:highlight w:val="none"/>
        </w:rPr>
        <w:t>个工作日内</w:t>
      </w:r>
      <w:r>
        <w:rPr>
          <w:rFonts w:hint="eastAsia" w:ascii="Times New Roman" w:hAnsi="Times New Roman" w:cs="Times New Roman"/>
          <w:kern w:val="2"/>
          <w:sz w:val="32"/>
          <w:szCs w:val="32"/>
          <w:highlight w:val="none"/>
          <w:lang w:val="en-US" w:eastAsia="zh-CN"/>
        </w:rPr>
        <w:t>组织调查组或委托第三方机构，按相关程序开展复查，并向申请人反馈复查</w:t>
      </w:r>
      <w:r>
        <w:rPr>
          <w:rFonts w:hint="eastAsia" w:ascii="Times New Roman" w:hAnsi="Times New Roman" w:cs="Times New Roman"/>
          <w:kern w:val="2"/>
          <w:sz w:val="32"/>
          <w:szCs w:val="32"/>
          <w:highlight w:val="none"/>
        </w:rPr>
        <w:t>意见，复</w:t>
      </w:r>
      <w:r>
        <w:rPr>
          <w:rFonts w:hint="eastAsia" w:ascii="Times New Roman" w:hAnsi="Times New Roman" w:cs="Times New Roman"/>
          <w:kern w:val="2"/>
          <w:sz w:val="32"/>
          <w:szCs w:val="32"/>
          <w:highlight w:val="none"/>
          <w:lang w:eastAsia="zh-CN"/>
        </w:rPr>
        <w:t>查</w:t>
      </w:r>
      <w:r>
        <w:rPr>
          <w:rFonts w:hint="eastAsia" w:ascii="Times New Roman" w:hAnsi="Times New Roman" w:cs="Times New Roman"/>
          <w:kern w:val="2"/>
          <w:sz w:val="32"/>
          <w:szCs w:val="32"/>
          <w:highlight w:val="none"/>
        </w:rPr>
        <w:t>意见为最终处理结果。</w:t>
      </w:r>
    </w:p>
    <w:p>
      <w:pPr>
        <w:pStyle w:val="11"/>
        <w:widowControl w:val="0"/>
        <w:overflowPunct w:val="0"/>
        <w:spacing w:beforeAutospacing="0" w:afterAutospacing="0" w:line="560" w:lineRule="exact"/>
        <w:ind w:firstLine="645"/>
        <w:jc w:val="both"/>
        <w:rPr>
          <w:rFonts w:hint="eastAsia" w:ascii="黑体" w:hAnsi="黑体" w:eastAsia="黑体" w:cs="黑体"/>
          <w:kern w:val="2"/>
          <w:sz w:val="32"/>
          <w:szCs w:val="32"/>
          <w:highlight w:val="none"/>
        </w:rPr>
      </w:pPr>
    </w:p>
    <w:p>
      <w:pPr>
        <w:numPr>
          <w:ilvl w:val="0"/>
          <w:numId w:val="9"/>
        </w:numPr>
        <w:overflowPunct w:val="0"/>
        <w:spacing w:line="560" w:lineRule="exact"/>
        <w:jc w:val="center"/>
        <w:rPr>
          <w:rFonts w:hint="eastAsia" w:ascii="黑体" w:hAnsi="黑体" w:eastAsia="黑体" w:cs="黑体"/>
          <w:highlight w:val="none"/>
        </w:rPr>
      </w:pPr>
      <w:r>
        <w:rPr>
          <w:rFonts w:hint="eastAsia" w:ascii="黑体" w:hAnsi="黑体" w:eastAsia="黑体" w:cs="黑体"/>
          <w:szCs w:val="32"/>
          <w:highlight w:val="none"/>
        </w:rPr>
        <w:t>结果应用</w:t>
      </w:r>
    </w:p>
    <w:p>
      <w:pPr>
        <w:pStyle w:val="11"/>
        <w:widowControl w:val="0"/>
        <w:numPr>
          <w:ilvl w:val="0"/>
          <w:numId w:val="2"/>
        </w:numPr>
        <w:tabs>
          <w:tab w:val="left" w:pos="268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hint="eastAsia" w:ascii="Times New Roman" w:hAnsi="Times New Roman"/>
          <w:kern w:val="2"/>
          <w:sz w:val="32"/>
          <w:szCs w:val="32"/>
          <w:highlight w:val="none"/>
        </w:rPr>
        <w:t>建立完善科研守信激励制度，对连续五年未发生科研失信行为（信用A级）的项目单位和项目人员，授予更多项目过程管理权限，加大科研创新支持力度，优化项目监督检查方式，减少检查频次；对守信的第三方科学技术服务机构和咨询评审专家，在同等条件下优先使用</w:t>
      </w:r>
      <w:r>
        <w:rPr>
          <w:rFonts w:ascii="Times New Roman" w:hAnsi="Times New Roman"/>
          <w:kern w:val="2"/>
          <w:sz w:val="32"/>
          <w:szCs w:val="32"/>
          <w:highlight w:val="none"/>
        </w:rPr>
        <w:t>。</w:t>
      </w:r>
    </w:p>
    <w:p>
      <w:pPr>
        <w:pStyle w:val="11"/>
        <w:widowControl w:val="0"/>
        <w:numPr>
          <w:ilvl w:val="0"/>
          <w:numId w:val="2"/>
        </w:numPr>
        <w:tabs>
          <w:tab w:val="left" w:pos="268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hint="eastAsia" w:ascii="Times New Roman" w:hAnsi="Times New Roman"/>
          <w:kern w:val="2"/>
          <w:sz w:val="32"/>
          <w:szCs w:val="32"/>
          <w:highlight w:val="none"/>
        </w:rPr>
        <w:t>项目科研失信行为的事实、情节、性质等最终认定后，对相关责任主体</w:t>
      </w:r>
      <w:r>
        <w:rPr>
          <w:rFonts w:ascii="Times New Roman" w:hAnsi="Times New Roman"/>
          <w:kern w:val="2"/>
          <w:sz w:val="32"/>
          <w:szCs w:val="32"/>
          <w:highlight w:val="none"/>
        </w:rPr>
        <w:t>可</w:t>
      </w:r>
      <w:r>
        <w:rPr>
          <w:rFonts w:hint="eastAsia" w:ascii="Times New Roman" w:hAnsi="Times New Roman"/>
          <w:kern w:val="2"/>
          <w:sz w:val="32"/>
          <w:szCs w:val="32"/>
          <w:highlight w:val="none"/>
        </w:rPr>
        <w:t>在处理权限内</w:t>
      </w:r>
      <w:r>
        <w:rPr>
          <w:rFonts w:ascii="Times New Roman" w:hAnsi="Times New Roman"/>
          <w:kern w:val="2"/>
          <w:sz w:val="32"/>
          <w:szCs w:val="32"/>
          <w:highlight w:val="none"/>
        </w:rPr>
        <w:t>单独或合并采取以下惩戒措施：</w:t>
      </w:r>
    </w:p>
    <w:p>
      <w:pPr>
        <w:pStyle w:val="11"/>
        <w:widowControl w:val="0"/>
        <w:numPr>
          <w:ilvl w:val="0"/>
          <w:numId w:val="10"/>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科研诚信诫勉谈话；</w:t>
      </w:r>
    </w:p>
    <w:p>
      <w:pPr>
        <w:pStyle w:val="11"/>
        <w:widowControl w:val="0"/>
        <w:numPr>
          <w:ilvl w:val="0"/>
          <w:numId w:val="10"/>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暂停项目和项目财政资金拨付，限期整改；</w:t>
      </w:r>
    </w:p>
    <w:p>
      <w:pPr>
        <w:pStyle w:val="11"/>
        <w:widowControl w:val="0"/>
        <w:numPr>
          <w:ilvl w:val="0"/>
          <w:numId w:val="10"/>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一定范围内公开通报；</w:t>
      </w:r>
    </w:p>
    <w:p>
      <w:pPr>
        <w:pStyle w:val="11"/>
        <w:widowControl w:val="0"/>
        <w:numPr>
          <w:ilvl w:val="0"/>
          <w:numId w:val="10"/>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bookmarkStart w:id="1" w:name="_Hlk201654967"/>
      <w:r>
        <w:rPr>
          <w:rFonts w:hint="eastAsia" w:ascii="Times New Roman" w:hAnsi="Times New Roman" w:cs="Times New Roman"/>
          <w:spacing w:val="20"/>
          <w:sz w:val="32"/>
          <w:szCs w:val="32"/>
          <w:highlight w:val="none"/>
        </w:rPr>
        <w:t>终止或</w:t>
      </w:r>
      <w:bookmarkEnd w:id="1"/>
      <w:r>
        <w:rPr>
          <w:rFonts w:hint="eastAsia" w:ascii="Times New Roman" w:hAnsi="Times New Roman" w:cs="Times New Roman"/>
          <w:spacing w:val="20"/>
          <w:sz w:val="32"/>
          <w:szCs w:val="32"/>
          <w:highlight w:val="none"/>
        </w:rPr>
        <w:t>撤销利用科研失信行为获得的项目，追回部分或全部已拨付项目财政资金；</w:t>
      </w:r>
    </w:p>
    <w:p>
      <w:pPr>
        <w:pStyle w:val="11"/>
        <w:widowControl w:val="0"/>
        <w:numPr>
          <w:ilvl w:val="0"/>
          <w:numId w:val="10"/>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撤销利用科研失信行为获得的奖励、荣誉等，并追回奖金；</w:t>
      </w:r>
    </w:p>
    <w:p>
      <w:pPr>
        <w:pStyle w:val="11"/>
        <w:widowControl w:val="0"/>
        <w:numPr>
          <w:ilvl w:val="0"/>
          <w:numId w:val="10"/>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取消已获得的学会、协会、研究会等学术团体以及学术工作机构的委员或成员资格；</w:t>
      </w:r>
    </w:p>
    <w:p>
      <w:pPr>
        <w:pStyle w:val="11"/>
        <w:widowControl w:val="0"/>
        <w:numPr>
          <w:ilvl w:val="0"/>
          <w:numId w:val="10"/>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一定期限禁止承担或参与项目；</w:t>
      </w:r>
    </w:p>
    <w:p>
      <w:pPr>
        <w:pStyle w:val="11"/>
        <w:widowControl w:val="0"/>
        <w:numPr>
          <w:ilvl w:val="0"/>
          <w:numId w:val="10"/>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一定期限取消申请或申报科技奖励等资格；</w:t>
      </w:r>
    </w:p>
    <w:p>
      <w:pPr>
        <w:pStyle w:val="11"/>
        <w:widowControl w:val="0"/>
        <w:numPr>
          <w:ilvl w:val="0"/>
          <w:numId w:val="10"/>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一定期限取消作为提名或推荐人、被提名或被推荐人、咨询评审专家等资格；</w:t>
      </w:r>
    </w:p>
    <w:p>
      <w:pPr>
        <w:pStyle w:val="11"/>
        <w:widowControl w:val="0"/>
        <w:numPr>
          <w:ilvl w:val="0"/>
          <w:numId w:val="10"/>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一定期限取消第三方科学技术服务机构为项目提供审计、咨询、绩效评估评价、检验检测等服务资格；</w:t>
      </w:r>
    </w:p>
    <w:p>
      <w:pPr>
        <w:pStyle w:val="11"/>
        <w:widowControl w:val="0"/>
        <w:numPr>
          <w:ilvl w:val="0"/>
          <w:numId w:val="10"/>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移交具有处罚或处理权限的主管部门或行业协会处理；</w:t>
      </w:r>
    </w:p>
    <w:p>
      <w:pPr>
        <w:pStyle w:val="11"/>
        <w:widowControl w:val="0"/>
        <w:numPr>
          <w:ilvl w:val="0"/>
          <w:numId w:val="10"/>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记入东莞市科研诚信失信行为数据库；</w:t>
      </w:r>
    </w:p>
    <w:p>
      <w:pPr>
        <w:pStyle w:val="11"/>
        <w:widowControl w:val="0"/>
        <w:numPr>
          <w:ilvl w:val="0"/>
          <w:numId w:val="10"/>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汇交至广东省数据资源“一网共享”平台；</w:t>
      </w:r>
    </w:p>
    <w:p>
      <w:pPr>
        <w:pStyle w:val="11"/>
        <w:widowControl w:val="0"/>
        <w:numPr>
          <w:ilvl w:val="0"/>
          <w:numId w:val="10"/>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汇交至广东省科研诚信严重失信行为数据库；</w:t>
      </w:r>
    </w:p>
    <w:p>
      <w:pPr>
        <w:pStyle w:val="11"/>
        <w:widowControl w:val="0"/>
        <w:numPr>
          <w:ilvl w:val="0"/>
          <w:numId w:val="10"/>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其他处理。</w:t>
      </w:r>
    </w:p>
    <w:p>
      <w:pPr>
        <w:pStyle w:val="11"/>
        <w:widowControl w:val="0"/>
        <w:overflowPunct w:val="0"/>
        <w:spacing w:beforeAutospacing="0" w:afterAutospacing="0" w:line="560" w:lineRule="exact"/>
        <w:ind w:firstLine="720" w:firstLineChars="200"/>
        <w:jc w:val="both"/>
        <w:rPr>
          <w:rFonts w:ascii="Times New Roman" w:hAnsi="Times New Roman"/>
          <w:spacing w:val="20"/>
          <w:kern w:val="2"/>
          <w:sz w:val="32"/>
          <w:szCs w:val="32"/>
          <w:highlight w:val="none"/>
        </w:rPr>
      </w:pPr>
      <w:r>
        <w:rPr>
          <w:rFonts w:ascii="Times New Roman" w:hAnsi="Times New Roman"/>
          <w:spacing w:val="20"/>
          <w:kern w:val="2"/>
          <w:sz w:val="32"/>
          <w:szCs w:val="32"/>
          <w:highlight w:val="none"/>
        </w:rPr>
        <w:t>给予前款第七至第十项处理的，应同时给予前款第十二至第十四项处理。</w:t>
      </w:r>
    </w:p>
    <w:p>
      <w:pPr>
        <w:pStyle w:val="11"/>
        <w:widowControl w:val="0"/>
        <w:numPr>
          <w:ilvl w:val="0"/>
          <w:numId w:val="2"/>
        </w:numPr>
        <w:tabs>
          <w:tab w:val="left" w:pos="268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spacing w:val="8"/>
          <w:kern w:val="2"/>
          <w:sz w:val="32"/>
          <w:szCs w:val="32"/>
          <w:highlight w:val="none"/>
        </w:rPr>
        <w:t>经调查认定存在项目科研失信行为的，应视情节轻重给予以下处理：</w:t>
      </w:r>
    </w:p>
    <w:p>
      <w:pPr>
        <w:pStyle w:val="11"/>
        <w:widowControl w:val="0"/>
        <w:numPr>
          <w:ilvl w:val="0"/>
          <w:numId w:val="11"/>
        </w:numPr>
        <w:overflowPunct w:val="0"/>
        <w:spacing w:beforeAutospacing="0" w:afterAutospacing="0" w:line="560" w:lineRule="exact"/>
        <w:ind w:left="0"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情节较轻的，可选择本办法第二十</w:t>
      </w:r>
      <w:r>
        <w:rPr>
          <w:rFonts w:hint="eastAsia" w:ascii="Times New Roman" w:hAnsi="Times New Roman" w:cs="Times New Roman"/>
          <w:spacing w:val="20"/>
          <w:sz w:val="32"/>
          <w:szCs w:val="32"/>
          <w:highlight w:val="none"/>
          <w:lang w:eastAsia="zh-CN"/>
        </w:rPr>
        <w:t>三</w:t>
      </w:r>
      <w:r>
        <w:rPr>
          <w:rFonts w:hint="eastAsia" w:ascii="Times New Roman" w:hAnsi="Times New Roman" w:cs="Times New Roman"/>
          <w:spacing w:val="20"/>
          <w:sz w:val="32"/>
          <w:szCs w:val="32"/>
          <w:highlight w:val="none"/>
        </w:rPr>
        <w:t>条第一、二项进行处理；</w:t>
      </w:r>
    </w:p>
    <w:p>
      <w:pPr>
        <w:pStyle w:val="11"/>
        <w:widowControl w:val="0"/>
        <w:numPr>
          <w:ilvl w:val="0"/>
          <w:numId w:val="11"/>
        </w:numPr>
        <w:overflowPunct w:val="0"/>
        <w:spacing w:beforeAutospacing="0" w:afterAutospacing="0" w:line="560" w:lineRule="exact"/>
        <w:ind w:left="0"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情节较重的，可选择本办法第二十</w:t>
      </w:r>
      <w:r>
        <w:rPr>
          <w:rFonts w:hint="eastAsia" w:ascii="Times New Roman" w:hAnsi="Times New Roman" w:cs="Times New Roman"/>
          <w:spacing w:val="20"/>
          <w:sz w:val="32"/>
          <w:szCs w:val="32"/>
          <w:highlight w:val="none"/>
          <w:lang w:eastAsia="zh-CN"/>
        </w:rPr>
        <w:t>三</w:t>
      </w:r>
      <w:r>
        <w:rPr>
          <w:rFonts w:hint="eastAsia" w:ascii="Times New Roman" w:hAnsi="Times New Roman" w:cs="Times New Roman"/>
          <w:spacing w:val="20"/>
          <w:sz w:val="32"/>
          <w:szCs w:val="32"/>
          <w:highlight w:val="none"/>
        </w:rPr>
        <w:t>条第三至第十一项进行处理，其中涉及取消或禁止期限的，期限为3年以内；</w:t>
      </w:r>
    </w:p>
    <w:p>
      <w:pPr>
        <w:pStyle w:val="11"/>
        <w:widowControl w:val="0"/>
        <w:numPr>
          <w:ilvl w:val="0"/>
          <w:numId w:val="11"/>
        </w:numPr>
        <w:overflowPunct w:val="0"/>
        <w:spacing w:beforeAutospacing="0" w:afterAutospacing="0" w:line="560" w:lineRule="exact"/>
        <w:ind w:left="0"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情节严重的，可选择本办法第二十</w:t>
      </w:r>
      <w:r>
        <w:rPr>
          <w:rFonts w:hint="eastAsia" w:ascii="Times New Roman" w:hAnsi="Times New Roman" w:cs="Times New Roman"/>
          <w:spacing w:val="20"/>
          <w:sz w:val="32"/>
          <w:szCs w:val="32"/>
          <w:highlight w:val="none"/>
          <w:lang w:eastAsia="zh-CN"/>
        </w:rPr>
        <w:t>三</w:t>
      </w:r>
      <w:r>
        <w:rPr>
          <w:rFonts w:hint="eastAsia" w:ascii="Times New Roman" w:hAnsi="Times New Roman" w:cs="Times New Roman"/>
          <w:spacing w:val="20"/>
          <w:sz w:val="32"/>
          <w:szCs w:val="32"/>
          <w:highlight w:val="none"/>
        </w:rPr>
        <w:t>条第三至第十一项进行处理，其中涉及取消或禁止期限的，期限为3至5年；</w:t>
      </w:r>
    </w:p>
    <w:p>
      <w:pPr>
        <w:pStyle w:val="11"/>
        <w:widowControl w:val="0"/>
        <w:numPr>
          <w:ilvl w:val="0"/>
          <w:numId w:val="11"/>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情节特别严重的，可选择本办法第二十</w:t>
      </w:r>
      <w:r>
        <w:rPr>
          <w:rFonts w:hint="eastAsia" w:ascii="Times New Roman" w:hAnsi="Times New Roman" w:cs="Times New Roman"/>
          <w:spacing w:val="20"/>
          <w:sz w:val="32"/>
          <w:szCs w:val="32"/>
          <w:highlight w:val="none"/>
          <w:lang w:eastAsia="zh-CN"/>
        </w:rPr>
        <w:t>三</w:t>
      </w:r>
      <w:r>
        <w:rPr>
          <w:rFonts w:hint="eastAsia" w:ascii="Times New Roman" w:hAnsi="Times New Roman" w:cs="Times New Roman"/>
          <w:spacing w:val="20"/>
          <w:sz w:val="32"/>
          <w:szCs w:val="32"/>
          <w:highlight w:val="none"/>
        </w:rPr>
        <w:t>条第三至第十一项进行处理，其中涉及取消或禁止期限的，期限为5年以上。</w:t>
      </w:r>
    </w:p>
    <w:p>
      <w:pPr>
        <w:pStyle w:val="11"/>
        <w:widowControl w:val="0"/>
        <w:numPr>
          <w:ilvl w:val="0"/>
          <w:numId w:val="2"/>
        </w:numPr>
        <w:tabs>
          <w:tab w:val="left" w:pos="268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spacing w:val="8"/>
          <w:kern w:val="2"/>
          <w:sz w:val="32"/>
          <w:szCs w:val="32"/>
          <w:highlight w:val="none"/>
        </w:rPr>
        <w:t>责任主体发生项目科研失信行为，并受到以下处理的，应直接选择本办法第</w:t>
      </w:r>
      <w:r>
        <w:rPr>
          <w:rFonts w:hint="eastAsia" w:ascii="Times New Roman" w:hAnsi="Times New Roman"/>
          <w:spacing w:val="8"/>
          <w:kern w:val="2"/>
          <w:sz w:val="32"/>
          <w:szCs w:val="32"/>
          <w:highlight w:val="none"/>
        </w:rPr>
        <w:t>二十</w:t>
      </w:r>
      <w:r>
        <w:rPr>
          <w:rFonts w:hint="eastAsia" w:ascii="Times New Roman" w:hAnsi="Times New Roman"/>
          <w:spacing w:val="8"/>
          <w:kern w:val="2"/>
          <w:sz w:val="32"/>
          <w:szCs w:val="32"/>
          <w:highlight w:val="none"/>
          <w:lang w:eastAsia="zh-CN"/>
        </w:rPr>
        <w:t>三</w:t>
      </w:r>
      <w:r>
        <w:rPr>
          <w:rFonts w:ascii="Times New Roman" w:hAnsi="Times New Roman"/>
          <w:spacing w:val="8"/>
          <w:kern w:val="2"/>
          <w:sz w:val="32"/>
          <w:szCs w:val="32"/>
          <w:highlight w:val="none"/>
        </w:rPr>
        <w:t>条第十二至第十四项处理措施：</w:t>
      </w:r>
    </w:p>
    <w:p>
      <w:pPr>
        <w:pStyle w:val="11"/>
        <w:widowControl w:val="0"/>
        <w:numPr>
          <w:ilvl w:val="0"/>
          <w:numId w:val="12"/>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因侵犯知识产权导致严重失信而受到刑事处罚或行政处罚，司法部门、行政部门抄送市科技局备案的；</w:t>
      </w:r>
    </w:p>
    <w:p>
      <w:pPr>
        <w:pStyle w:val="11"/>
        <w:widowControl w:val="0"/>
        <w:numPr>
          <w:ilvl w:val="0"/>
          <w:numId w:val="12"/>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由相关科技管理部门在科技活动管理或监督检查中认定查处，给予责任主体一定期限取消项目申报资格或一定期限取消项目咨询评审资格等处理的；</w:t>
      </w:r>
    </w:p>
    <w:p>
      <w:pPr>
        <w:pStyle w:val="11"/>
        <w:widowControl w:val="0"/>
        <w:numPr>
          <w:ilvl w:val="0"/>
          <w:numId w:val="12"/>
        </w:numPr>
        <w:overflowPunct w:val="0"/>
        <w:spacing w:beforeAutospacing="0" w:afterAutospacing="0" w:line="560" w:lineRule="exact"/>
        <w:ind w:left="0"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由上级科技主管部门作出处理决定，给予责任主体一定期限取消项目申报资格或一定期限取消项目咨询评审资格等处理，抄送市科技局备案的。</w:t>
      </w:r>
    </w:p>
    <w:p>
      <w:pPr>
        <w:pStyle w:val="11"/>
        <w:widowControl w:val="0"/>
        <w:numPr>
          <w:ilvl w:val="0"/>
          <w:numId w:val="2"/>
        </w:numPr>
        <w:tabs>
          <w:tab w:val="left" w:pos="268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有以下情形之一的，可以给予从轻处理：</w:t>
      </w:r>
    </w:p>
    <w:p>
      <w:pPr>
        <w:pStyle w:val="11"/>
        <w:widowControl w:val="0"/>
        <w:numPr>
          <w:ilvl w:val="0"/>
          <w:numId w:val="1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有证据显示属于过失行为且未造成重大影响的；</w:t>
      </w:r>
    </w:p>
    <w:p>
      <w:pPr>
        <w:pStyle w:val="11"/>
        <w:widowControl w:val="0"/>
        <w:numPr>
          <w:ilvl w:val="0"/>
          <w:numId w:val="1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过错程度较轻且能积极配合调查的；</w:t>
      </w:r>
    </w:p>
    <w:p>
      <w:pPr>
        <w:pStyle w:val="11"/>
        <w:widowControl w:val="0"/>
        <w:numPr>
          <w:ilvl w:val="0"/>
          <w:numId w:val="1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在调查处理前主动纠正错误，挽回损失或有效阻止危害结果发生的；</w:t>
      </w:r>
    </w:p>
    <w:p>
      <w:pPr>
        <w:pStyle w:val="11"/>
        <w:widowControl w:val="0"/>
        <w:numPr>
          <w:ilvl w:val="0"/>
          <w:numId w:val="1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在调查中主动承认错误，并公开承诺严格遵守科研诚信要求、不再发生项目科研失信行为的；</w:t>
      </w:r>
    </w:p>
    <w:p>
      <w:pPr>
        <w:pStyle w:val="11"/>
        <w:widowControl w:val="0"/>
        <w:numPr>
          <w:ilvl w:val="0"/>
          <w:numId w:val="1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已按要求退回项目财政资金的；</w:t>
      </w:r>
    </w:p>
    <w:p>
      <w:pPr>
        <w:pStyle w:val="11"/>
        <w:widowControl w:val="0"/>
        <w:numPr>
          <w:ilvl w:val="0"/>
          <w:numId w:val="13"/>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其他可以给予从轻处理情形。</w:t>
      </w:r>
    </w:p>
    <w:p>
      <w:pPr>
        <w:pStyle w:val="11"/>
        <w:widowControl w:val="0"/>
        <w:numPr>
          <w:ilvl w:val="0"/>
          <w:numId w:val="2"/>
        </w:numPr>
        <w:tabs>
          <w:tab w:val="left" w:pos="268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有以下情形之一的，应当给予从重处理：</w:t>
      </w:r>
    </w:p>
    <w:p>
      <w:pPr>
        <w:pStyle w:val="11"/>
        <w:widowControl w:val="0"/>
        <w:numPr>
          <w:ilvl w:val="0"/>
          <w:numId w:val="1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伪造、篡改、隐匿、销毁证据的；</w:t>
      </w:r>
    </w:p>
    <w:p>
      <w:pPr>
        <w:pStyle w:val="11"/>
        <w:widowControl w:val="0"/>
        <w:numPr>
          <w:ilvl w:val="0"/>
          <w:numId w:val="1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阻挠他人提供证据，或干扰、妨碍调查核实的；</w:t>
      </w:r>
    </w:p>
    <w:p>
      <w:pPr>
        <w:pStyle w:val="11"/>
        <w:widowControl w:val="0"/>
        <w:numPr>
          <w:ilvl w:val="0"/>
          <w:numId w:val="1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打击、报复举报人、证人、调查人员的；</w:t>
      </w:r>
    </w:p>
    <w:p>
      <w:pPr>
        <w:pStyle w:val="11"/>
        <w:widowControl w:val="0"/>
        <w:numPr>
          <w:ilvl w:val="0"/>
          <w:numId w:val="1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存在利益输送或利益交换的；</w:t>
      </w:r>
    </w:p>
    <w:p>
      <w:pPr>
        <w:pStyle w:val="11"/>
        <w:widowControl w:val="0"/>
        <w:numPr>
          <w:ilvl w:val="0"/>
          <w:numId w:val="1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有组织地实施项目科研失信行为的；</w:t>
      </w:r>
    </w:p>
    <w:p>
      <w:pPr>
        <w:pStyle w:val="11"/>
        <w:widowControl w:val="0"/>
        <w:numPr>
          <w:ilvl w:val="0"/>
          <w:numId w:val="1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多次发生项目科研失信行为或同时存在多种科研失信行为的；</w:t>
      </w:r>
    </w:p>
    <w:p>
      <w:pPr>
        <w:pStyle w:val="11"/>
        <w:widowControl w:val="0"/>
        <w:numPr>
          <w:ilvl w:val="0"/>
          <w:numId w:val="1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证据确凿、事实清楚而拒不承认错误的；</w:t>
      </w:r>
    </w:p>
    <w:p>
      <w:pPr>
        <w:pStyle w:val="11"/>
        <w:widowControl w:val="0"/>
        <w:numPr>
          <w:ilvl w:val="0"/>
          <w:numId w:val="14"/>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其他应当给予从重处理情形。</w:t>
      </w:r>
    </w:p>
    <w:p>
      <w:pPr>
        <w:pStyle w:val="11"/>
        <w:widowControl w:val="0"/>
        <w:numPr>
          <w:ilvl w:val="0"/>
          <w:numId w:val="2"/>
        </w:numPr>
        <w:tabs>
          <w:tab w:val="left" w:pos="268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hint="eastAsia" w:ascii="Times New Roman" w:hAnsi="Times New Roman"/>
          <w:kern w:val="2"/>
          <w:sz w:val="32"/>
          <w:szCs w:val="32"/>
          <w:highlight w:val="none"/>
        </w:rPr>
        <w:t>应当记入东莞市科研诚信失信行为数据库的责任主体，记录信息主要包括责任主体的名称（姓名）、统一社会信用代码（身份证号码）、所涉项目名称和编号、科研失信情形、调查处理结果等。东莞市科研诚信失信行为数据库记录信息实行动态管理，对惩戒期限届满的责任主体自动移出。</w:t>
      </w:r>
    </w:p>
    <w:p>
      <w:pPr>
        <w:pStyle w:val="11"/>
        <w:widowControl w:val="0"/>
        <w:numPr>
          <w:ilvl w:val="0"/>
          <w:numId w:val="2"/>
        </w:numPr>
        <w:tabs>
          <w:tab w:val="left" w:pos="236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hint="eastAsia" w:ascii="Times New Roman" w:hAnsi="Times New Roman"/>
          <w:kern w:val="2"/>
          <w:sz w:val="32"/>
          <w:szCs w:val="32"/>
          <w:highlight w:val="none"/>
        </w:rPr>
        <w:t>采取本办法第二十</w:t>
      </w:r>
      <w:r>
        <w:rPr>
          <w:rFonts w:hint="eastAsia" w:ascii="Times New Roman" w:hAnsi="Times New Roman"/>
          <w:kern w:val="2"/>
          <w:sz w:val="32"/>
          <w:szCs w:val="32"/>
          <w:highlight w:val="none"/>
          <w:lang w:eastAsia="zh-CN"/>
        </w:rPr>
        <w:t>三</w:t>
      </w:r>
      <w:r>
        <w:rPr>
          <w:rFonts w:hint="eastAsia" w:ascii="Times New Roman" w:hAnsi="Times New Roman"/>
          <w:kern w:val="2"/>
          <w:sz w:val="32"/>
          <w:szCs w:val="32"/>
          <w:highlight w:val="none"/>
        </w:rPr>
        <w:t>条处理措施且一定期限禁止或者取消资格的，惩戒期限自下达处理决定之日起计算。处理决定作出前已暂停活动的，暂停期限可以折抵惩戒期限。</w:t>
      </w:r>
    </w:p>
    <w:p>
      <w:pPr>
        <w:pStyle w:val="11"/>
        <w:widowControl w:val="0"/>
        <w:overflowPunct w:val="0"/>
        <w:spacing w:beforeAutospacing="0" w:afterAutospacing="0" w:line="560" w:lineRule="exact"/>
        <w:ind w:firstLine="672" w:firstLineChars="200"/>
        <w:jc w:val="both"/>
        <w:rPr>
          <w:rFonts w:hint="eastAsia" w:ascii="Times New Roman" w:hAnsi="Times New Roman"/>
          <w:kern w:val="2"/>
          <w:sz w:val="32"/>
          <w:szCs w:val="32"/>
          <w:highlight w:val="none"/>
        </w:rPr>
      </w:pPr>
    </w:p>
    <w:p>
      <w:pPr>
        <w:numPr>
          <w:ilvl w:val="0"/>
          <w:numId w:val="9"/>
        </w:numPr>
        <w:overflowPunct w:val="0"/>
        <w:spacing w:line="560" w:lineRule="exact"/>
        <w:jc w:val="center"/>
        <w:rPr>
          <w:rFonts w:ascii="黑体" w:hAnsi="黑体" w:eastAsia="黑体" w:cs="黑体"/>
          <w:szCs w:val="32"/>
          <w:highlight w:val="none"/>
        </w:rPr>
      </w:pPr>
      <w:r>
        <w:rPr>
          <w:rFonts w:ascii="黑体" w:hAnsi="黑体" w:eastAsia="黑体" w:cs="黑体"/>
          <w:spacing w:val="8"/>
          <w:szCs w:val="32"/>
          <w:highlight w:val="none"/>
        </w:rPr>
        <w:t>信用修复</w:t>
      </w:r>
    </w:p>
    <w:p>
      <w:pPr>
        <w:pStyle w:val="11"/>
        <w:widowControl w:val="0"/>
        <w:numPr>
          <w:ilvl w:val="0"/>
          <w:numId w:val="2"/>
        </w:numPr>
        <w:tabs>
          <w:tab w:val="left" w:pos="268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spacing w:val="8"/>
          <w:kern w:val="2"/>
          <w:sz w:val="32"/>
          <w:szCs w:val="32"/>
          <w:highlight w:val="none"/>
        </w:rPr>
        <w:t>实行项目科研信用修复机制，按照“谁作出，谁修复”的原则，记入</w:t>
      </w:r>
      <w:r>
        <w:rPr>
          <w:rFonts w:hint="eastAsia" w:ascii="Times New Roman" w:hAnsi="Times New Roman"/>
          <w:spacing w:val="8"/>
          <w:kern w:val="2"/>
          <w:sz w:val="32"/>
          <w:szCs w:val="32"/>
          <w:highlight w:val="none"/>
        </w:rPr>
        <w:t>东莞市</w:t>
      </w:r>
      <w:r>
        <w:rPr>
          <w:rFonts w:ascii="Times New Roman" w:hAnsi="Times New Roman"/>
          <w:spacing w:val="8"/>
          <w:kern w:val="2"/>
          <w:sz w:val="32"/>
          <w:szCs w:val="32"/>
          <w:highlight w:val="none"/>
        </w:rPr>
        <w:t>科研诚信失信行为数据库且尚在惩戒期内的责任主体，可以向作出科研失信处理决定的单位提出科研信用修复申请。</w:t>
      </w:r>
    </w:p>
    <w:p>
      <w:pPr>
        <w:pStyle w:val="11"/>
        <w:widowControl w:val="0"/>
        <w:numPr>
          <w:ilvl w:val="0"/>
          <w:numId w:val="2"/>
        </w:numPr>
        <w:tabs>
          <w:tab w:val="left" w:pos="268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向</w:t>
      </w:r>
      <w:r>
        <w:rPr>
          <w:rFonts w:hint="eastAsia" w:ascii="Times New Roman" w:hAnsi="Times New Roman"/>
          <w:kern w:val="2"/>
          <w:sz w:val="32"/>
          <w:szCs w:val="32"/>
          <w:highlight w:val="none"/>
        </w:rPr>
        <w:t>市科技局</w:t>
      </w:r>
      <w:r>
        <w:rPr>
          <w:rFonts w:ascii="Times New Roman" w:hAnsi="Times New Roman"/>
          <w:kern w:val="2"/>
          <w:sz w:val="32"/>
          <w:szCs w:val="32"/>
          <w:highlight w:val="none"/>
        </w:rPr>
        <w:t>提出信用修复申请须同时满足以下条件：</w:t>
      </w:r>
    </w:p>
    <w:p>
      <w:pPr>
        <w:pStyle w:val="11"/>
        <w:widowControl w:val="0"/>
        <w:numPr>
          <w:ilvl w:val="0"/>
          <w:numId w:val="15"/>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项目科研失信惩戒已实施至少1年，且惩戒期内未发生或未发现新的项目科研失信；</w:t>
      </w:r>
    </w:p>
    <w:p>
      <w:pPr>
        <w:pStyle w:val="11"/>
        <w:widowControl w:val="0"/>
        <w:numPr>
          <w:ilvl w:val="0"/>
          <w:numId w:val="15"/>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有主动纠正科研失信行为、消除不良社会影响等表现；</w:t>
      </w:r>
    </w:p>
    <w:p>
      <w:pPr>
        <w:pStyle w:val="11"/>
        <w:widowControl w:val="0"/>
        <w:numPr>
          <w:ilvl w:val="0"/>
          <w:numId w:val="15"/>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作出书面科研诚信承诺；</w:t>
      </w:r>
    </w:p>
    <w:p>
      <w:pPr>
        <w:pStyle w:val="11"/>
        <w:widowControl w:val="0"/>
        <w:numPr>
          <w:ilvl w:val="0"/>
          <w:numId w:val="15"/>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积极参加科研诚信专题培训，并提供相关证明；</w:t>
      </w:r>
    </w:p>
    <w:p>
      <w:pPr>
        <w:pStyle w:val="11"/>
        <w:widowControl w:val="0"/>
        <w:numPr>
          <w:ilvl w:val="0"/>
          <w:numId w:val="15"/>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科研失信惩戒实施后获得市级及以上表彰或嘉奖。</w:t>
      </w:r>
    </w:p>
    <w:p>
      <w:pPr>
        <w:pStyle w:val="11"/>
        <w:widowControl w:val="0"/>
        <w:numPr>
          <w:ilvl w:val="0"/>
          <w:numId w:val="2"/>
        </w:numPr>
        <w:tabs>
          <w:tab w:val="left" w:pos="268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kern w:val="2"/>
          <w:sz w:val="32"/>
          <w:szCs w:val="32"/>
          <w:highlight w:val="none"/>
        </w:rPr>
        <w:t>科研信用修复程序：</w:t>
      </w:r>
    </w:p>
    <w:p>
      <w:pPr>
        <w:pStyle w:val="11"/>
        <w:widowControl w:val="0"/>
        <w:numPr>
          <w:ilvl w:val="0"/>
          <w:numId w:val="16"/>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提出申请。满足信用修复申请条件的责任主体按要求提交项目科研信用修复申请书、科研诚信承诺书、本办法第三十</w:t>
      </w:r>
      <w:r>
        <w:rPr>
          <w:rFonts w:hint="eastAsia" w:ascii="Times New Roman" w:hAnsi="Times New Roman" w:cs="Times New Roman"/>
          <w:spacing w:val="20"/>
          <w:sz w:val="32"/>
          <w:szCs w:val="32"/>
          <w:highlight w:val="none"/>
          <w:lang w:eastAsia="zh-CN"/>
        </w:rPr>
        <w:t>一</w:t>
      </w:r>
      <w:r>
        <w:rPr>
          <w:rFonts w:hint="eastAsia" w:ascii="Times New Roman" w:hAnsi="Times New Roman" w:cs="Times New Roman"/>
          <w:spacing w:val="20"/>
          <w:sz w:val="32"/>
          <w:szCs w:val="32"/>
          <w:highlight w:val="none"/>
        </w:rPr>
        <w:t>条所列的证明材料等。</w:t>
      </w:r>
    </w:p>
    <w:p>
      <w:pPr>
        <w:pStyle w:val="11"/>
        <w:widowControl w:val="0"/>
        <w:numPr>
          <w:ilvl w:val="0"/>
          <w:numId w:val="16"/>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受理申请。市科技局对项目科研信用修复申请材料的完整性、相关性进行审核，确定是否受理。不予受理的，应告知申请者不予受理的理由。</w:t>
      </w:r>
    </w:p>
    <w:p>
      <w:pPr>
        <w:pStyle w:val="11"/>
        <w:widowControl w:val="0"/>
        <w:numPr>
          <w:ilvl w:val="0"/>
          <w:numId w:val="16"/>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审核论证。市科技局负责对通过审核且予以受理的项目科研信用修复事项进行论证，作出是否予以信用修复的决定，并将科研信用修复情况告知申请主体。</w:t>
      </w:r>
    </w:p>
    <w:p>
      <w:pPr>
        <w:pStyle w:val="11"/>
        <w:widowControl w:val="0"/>
        <w:numPr>
          <w:ilvl w:val="0"/>
          <w:numId w:val="16"/>
        </w:numPr>
        <w:overflowPunct w:val="0"/>
        <w:spacing w:beforeAutospacing="0" w:afterAutospacing="0" w:line="560" w:lineRule="exact"/>
        <w:ind w:firstLine="720" w:firstLineChars="200"/>
        <w:jc w:val="both"/>
        <w:rPr>
          <w:rFonts w:hint="eastAsia" w:ascii="Times New Roman" w:hAnsi="Times New Roman" w:cs="Times New Roman"/>
          <w:spacing w:val="20"/>
          <w:sz w:val="32"/>
          <w:szCs w:val="32"/>
          <w:highlight w:val="none"/>
        </w:rPr>
      </w:pPr>
      <w:r>
        <w:rPr>
          <w:rFonts w:hint="eastAsia" w:ascii="Times New Roman" w:hAnsi="Times New Roman" w:cs="Times New Roman"/>
          <w:spacing w:val="20"/>
          <w:sz w:val="32"/>
          <w:szCs w:val="32"/>
          <w:highlight w:val="none"/>
        </w:rPr>
        <w:t>信用修复。根据信用修复决定予以项目科研信用修复的，应将责任主体移出东莞市科研诚信失信行为数据库，同时终止对其实施的惩戒措施。法律、法规、规章和国家规定不予修复的，从其规定。</w:t>
      </w:r>
    </w:p>
    <w:p>
      <w:pPr>
        <w:pStyle w:val="11"/>
        <w:widowControl w:val="0"/>
        <w:numPr>
          <w:ilvl w:val="0"/>
          <w:numId w:val="2"/>
        </w:numPr>
        <w:tabs>
          <w:tab w:val="left" w:pos="268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spacing w:val="8"/>
          <w:kern w:val="2"/>
          <w:sz w:val="32"/>
          <w:szCs w:val="32"/>
          <w:highlight w:val="none"/>
        </w:rPr>
        <w:t>记入</w:t>
      </w:r>
      <w:r>
        <w:rPr>
          <w:rFonts w:hint="eastAsia" w:ascii="Times New Roman" w:hAnsi="Times New Roman"/>
          <w:spacing w:val="8"/>
          <w:kern w:val="2"/>
          <w:sz w:val="32"/>
          <w:szCs w:val="32"/>
          <w:highlight w:val="none"/>
        </w:rPr>
        <w:t>东莞市</w:t>
      </w:r>
      <w:r>
        <w:rPr>
          <w:rFonts w:ascii="Times New Roman" w:hAnsi="Times New Roman"/>
          <w:spacing w:val="8"/>
          <w:kern w:val="2"/>
          <w:sz w:val="32"/>
          <w:szCs w:val="32"/>
          <w:highlight w:val="none"/>
        </w:rPr>
        <w:t>科研诚信失信行为数据库所依据的处理决定被撤销或宣告无效的，由作出处理决定的单位及时移出或申请移出。</w:t>
      </w:r>
    </w:p>
    <w:p>
      <w:pPr>
        <w:pStyle w:val="11"/>
        <w:widowControl w:val="0"/>
        <w:overflowPunct w:val="0"/>
        <w:spacing w:beforeAutospacing="0" w:afterAutospacing="0" w:line="560" w:lineRule="exact"/>
        <w:ind w:firstLine="672" w:firstLineChars="200"/>
        <w:jc w:val="both"/>
        <w:rPr>
          <w:rFonts w:hint="eastAsia" w:ascii="Times New Roman" w:hAnsi="Times New Roman" w:eastAsia="黑体"/>
          <w:kern w:val="2"/>
          <w:sz w:val="32"/>
          <w:szCs w:val="32"/>
          <w:highlight w:val="none"/>
        </w:rPr>
      </w:pPr>
    </w:p>
    <w:p>
      <w:pPr>
        <w:numPr>
          <w:ilvl w:val="0"/>
          <w:numId w:val="9"/>
        </w:numPr>
        <w:overflowPunct w:val="0"/>
        <w:spacing w:line="560" w:lineRule="exact"/>
        <w:jc w:val="center"/>
        <w:rPr>
          <w:rFonts w:ascii="黑体" w:hAnsi="黑体" w:eastAsia="黑体" w:cs="黑体"/>
          <w:szCs w:val="32"/>
          <w:highlight w:val="none"/>
        </w:rPr>
      </w:pPr>
      <w:r>
        <w:rPr>
          <w:rFonts w:hint="eastAsia" w:ascii="黑体" w:hAnsi="黑体" w:eastAsia="黑体" w:cs="黑体"/>
          <w:szCs w:val="32"/>
          <w:highlight w:val="none"/>
        </w:rPr>
        <w:t>管理机制</w:t>
      </w:r>
    </w:p>
    <w:p>
      <w:pPr>
        <w:pStyle w:val="11"/>
        <w:widowControl w:val="0"/>
        <w:numPr>
          <w:ilvl w:val="0"/>
          <w:numId w:val="2"/>
        </w:numPr>
        <w:tabs>
          <w:tab w:val="left" w:pos="2680"/>
        </w:tabs>
        <w:overflowPunct w:val="0"/>
        <w:spacing w:beforeAutospacing="0" w:afterAutospacing="0" w:line="560" w:lineRule="exact"/>
        <w:ind w:left="0" w:firstLine="672" w:firstLineChars="200"/>
        <w:jc w:val="both"/>
        <w:rPr>
          <w:rFonts w:ascii="Times New Roman" w:hAnsi="Times New Roman"/>
          <w:sz w:val="32"/>
          <w:szCs w:val="32"/>
          <w:highlight w:val="none"/>
        </w:rPr>
      </w:pPr>
      <w:r>
        <w:rPr>
          <w:rFonts w:ascii="Times New Roman" w:hAnsi="Times New Roman"/>
          <w:sz w:val="32"/>
          <w:szCs w:val="32"/>
          <w:highlight w:val="none"/>
        </w:rPr>
        <w:t>全面实施科研诚信承诺制，相关责任主体在实施或参与科研活动时应签订诚信承诺书，对</w:t>
      </w:r>
      <w:r>
        <w:rPr>
          <w:rFonts w:hint="eastAsia" w:ascii="Times New Roman" w:hAnsi="Times New Roman"/>
          <w:sz w:val="32"/>
          <w:szCs w:val="32"/>
          <w:highlight w:val="none"/>
        </w:rPr>
        <w:t>遵守科研诚信、科技伦理、安全保密、财政科研项目资金管理等方面</w:t>
      </w:r>
      <w:r>
        <w:rPr>
          <w:rFonts w:ascii="Times New Roman" w:hAnsi="Times New Roman"/>
          <w:sz w:val="32"/>
          <w:szCs w:val="32"/>
          <w:highlight w:val="none"/>
        </w:rPr>
        <w:t>作出承诺</w:t>
      </w:r>
      <w:r>
        <w:rPr>
          <w:rFonts w:hint="eastAsia" w:ascii="Times New Roman" w:hAnsi="Times New Roman"/>
          <w:sz w:val="32"/>
          <w:szCs w:val="32"/>
          <w:highlight w:val="none"/>
        </w:rPr>
        <w:t>。</w:t>
      </w:r>
      <w:r>
        <w:rPr>
          <w:rFonts w:ascii="Times New Roman" w:hAnsi="Times New Roman"/>
          <w:sz w:val="32"/>
          <w:szCs w:val="32"/>
          <w:highlight w:val="none"/>
        </w:rPr>
        <w:t>承诺书应当</w:t>
      </w:r>
      <w:r>
        <w:rPr>
          <w:rFonts w:hint="eastAsia" w:ascii="Times New Roman" w:hAnsi="Times New Roman"/>
          <w:sz w:val="32"/>
          <w:szCs w:val="32"/>
          <w:highlight w:val="none"/>
        </w:rPr>
        <w:t>明确</w:t>
      </w:r>
      <w:r>
        <w:rPr>
          <w:rFonts w:ascii="Times New Roman" w:hAnsi="Times New Roman"/>
          <w:sz w:val="32"/>
          <w:szCs w:val="32"/>
          <w:highlight w:val="none"/>
        </w:rPr>
        <w:t>承诺事项和</w:t>
      </w:r>
      <w:r>
        <w:rPr>
          <w:rFonts w:hint="eastAsia" w:ascii="Times New Roman" w:hAnsi="Times New Roman"/>
          <w:sz w:val="32"/>
          <w:szCs w:val="32"/>
          <w:highlight w:val="none"/>
        </w:rPr>
        <w:t>违背</w:t>
      </w:r>
      <w:r>
        <w:rPr>
          <w:rFonts w:ascii="Times New Roman" w:hAnsi="Times New Roman"/>
          <w:sz w:val="32"/>
          <w:szCs w:val="32"/>
          <w:highlight w:val="none"/>
        </w:rPr>
        <w:t>承诺的不良后果，作为事中、事后监管的重要依据。</w:t>
      </w:r>
    </w:p>
    <w:p>
      <w:pPr>
        <w:pStyle w:val="11"/>
        <w:widowControl w:val="0"/>
        <w:numPr>
          <w:ilvl w:val="0"/>
          <w:numId w:val="2"/>
        </w:numPr>
        <w:tabs>
          <w:tab w:val="left" w:pos="2680"/>
        </w:tabs>
        <w:overflowPunct w:val="0"/>
        <w:spacing w:beforeAutospacing="0" w:afterAutospacing="0" w:line="560" w:lineRule="exact"/>
        <w:ind w:left="0" w:firstLine="672" w:firstLineChars="200"/>
        <w:jc w:val="both"/>
        <w:rPr>
          <w:rFonts w:ascii="Times New Roman" w:hAnsi="Times New Roman"/>
          <w:kern w:val="2"/>
          <w:sz w:val="32"/>
          <w:szCs w:val="32"/>
          <w:highlight w:val="none"/>
        </w:rPr>
      </w:pPr>
      <w:r>
        <w:rPr>
          <w:rFonts w:ascii="Times New Roman" w:hAnsi="Times New Roman"/>
          <w:sz w:val="32"/>
          <w:szCs w:val="32"/>
          <w:highlight w:val="none"/>
        </w:rPr>
        <w:t>实行科研活动诚信审核</w:t>
      </w:r>
      <w:r>
        <w:rPr>
          <w:rFonts w:hint="eastAsia" w:ascii="Times New Roman" w:hAnsi="Times New Roman"/>
          <w:sz w:val="32"/>
          <w:szCs w:val="32"/>
          <w:highlight w:val="none"/>
        </w:rPr>
        <w:t>制度</w:t>
      </w:r>
      <w:r>
        <w:rPr>
          <w:rFonts w:ascii="Times New Roman" w:hAnsi="Times New Roman"/>
          <w:sz w:val="32"/>
          <w:szCs w:val="32"/>
          <w:highlight w:val="none"/>
        </w:rPr>
        <w:t>，</w:t>
      </w:r>
      <w:r>
        <w:rPr>
          <w:rFonts w:hint="eastAsia" w:ascii="Times New Roman" w:hAnsi="Times New Roman"/>
          <w:sz w:val="32"/>
          <w:szCs w:val="32"/>
          <w:highlight w:val="none"/>
        </w:rPr>
        <w:t>按照“谁组织、谁审核、谁管理、谁负责”的原则，</w:t>
      </w:r>
      <w:r>
        <w:rPr>
          <w:rFonts w:ascii="Times New Roman" w:hAnsi="Times New Roman"/>
          <w:sz w:val="32"/>
          <w:szCs w:val="32"/>
          <w:highlight w:val="none"/>
        </w:rPr>
        <w:t>对</w:t>
      </w:r>
      <w:r>
        <w:rPr>
          <w:rFonts w:hint="eastAsia" w:ascii="Times New Roman" w:hAnsi="Times New Roman"/>
          <w:sz w:val="32"/>
          <w:szCs w:val="32"/>
          <w:highlight w:val="none"/>
        </w:rPr>
        <w:t>科研活动</w:t>
      </w:r>
      <w:r>
        <w:rPr>
          <w:rFonts w:ascii="Times New Roman" w:hAnsi="Times New Roman"/>
          <w:sz w:val="32"/>
          <w:szCs w:val="32"/>
          <w:highlight w:val="none"/>
        </w:rPr>
        <w:t>责任主体进行诚信审核，将具备良好诚信状况作为其参与科研活动事务的必备条件，对存在严重失信行为的责任主体实行</w:t>
      </w:r>
      <w:r>
        <w:rPr>
          <w:rStyle w:val="19"/>
          <w:rFonts w:ascii="Times New Roman" w:hAnsi="Times New Roman"/>
          <w:sz w:val="32"/>
          <w:szCs w:val="32"/>
          <w:highlight w:val="none"/>
        </w:rPr>
        <w:t>“</w:t>
      </w:r>
      <w:r>
        <w:rPr>
          <w:rFonts w:ascii="Times New Roman" w:hAnsi="Times New Roman"/>
          <w:sz w:val="32"/>
          <w:szCs w:val="32"/>
          <w:highlight w:val="none"/>
        </w:rPr>
        <w:t>一票否决”。</w:t>
      </w:r>
    </w:p>
    <w:p>
      <w:pPr>
        <w:pStyle w:val="11"/>
        <w:widowControl w:val="0"/>
        <w:numPr>
          <w:ilvl w:val="0"/>
          <w:numId w:val="2"/>
        </w:numPr>
        <w:tabs>
          <w:tab w:val="left" w:pos="2680"/>
        </w:tabs>
        <w:overflowPunct w:val="0"/>
        <w:spacing w:beforeAutospacing="0" w:afterAutospacing="0" w:line="560" w:lineRule="exact"/>
        <w:ind w:left="0" w:firstLine="672" w:firstLineChars="200"/>
        <w:jc w:val="both"/>
        <w:rPr>
          <w:rFonts w:ascii="Times New Roman" w:hAnsi="Times New Roman"/>
          <w:sz w:val="32"/>
          <w:szCs w:val="32"/>
          <w:highlight w:val="none"/>
        </w:rPr>
      </w:pPr>
      <w:r>
        <w:rPr>
          <w:rFonts w:ascii="Times New Roman" w:hAnsi="Times New Roman"/>
          <w:spacing w:val="8"/>
          <w:sz w:val="32"/>
          <w:szCs w:val="32"/>
          <w:highlight w:val="none"/>
        </w:rPr>
        <w:t>建立鼓励创新、宽容失败的容错纠错机制。</w:t>
      </w:r>
      <w:r>
        <w:rPr>
          <w:rFonts w:hint="default" w:ascii="Times New Roman" w:hAnsi="Times New Roman" w:cs="Times New Roman"/>
          <w:spacing w:val="8"/>
          <w:sz w:val="32"/>
          <w:szCs w:val="32"/>
          <w:highlight w:val="none"/>
          <w:lang w:eastAsia="zh-CN"/>
        </w:rPr>
        <w:t>在科技创新改革</w:t>
      </w:r>
      <w:r>
        <w:rPr>
          <w:rFonts w:hint="eastAsia" w:ascii="Times New Roman" w:hAnsi="Times New Roman" w:cs="Times New Roman"/>
          <w:spacing w:val="8"/>
          <w:sz w:val="32"/>
          <w:szCs w:val="32"/>
          <w:highlight w:val="none"/>
          <w:lang w:eastAsia="zh-CN"/>
        </w:rPr>
        <w:t>或</w:t>
      </w:r>
      <w:r>
        <w:rPr>
          <w:rFonts w:hint="default" w:ascii="Times New Roman" w:hAnsi="Times New Roman" w:cs="Times New Roman"/>
          <w:spacing w:val="8"/>
          <w:sz w:val="32"/>
          <w:szCs w:val="32"/>
          <w:highlight w:val="none"/>
          <w:lang w:eastAsia="zh-CN"/>
        </w:rPr>
        <w:t>使用财政资金开展科技创新活动过程中出现非因主观故意</w:t>
      </w:r>
      <w:r>
        <w:rPr>
          <w:rFonts w:hint="eastAsia" w:ascii="Times New Roman" w:hAnsi="Times New Roman" w:cs="Times New Roman"/>
          <w:spacing w:val="8"/>
          <w:sz w:val="32"/>
          <w:szCs w:val="32"/>
          <w:highlight w:val="none"/>
          <w:lang w:eastAsia="zh-CN"/>
        </w:rPr>
        <w:t>的失误错误</w:t>
      </w:r>
      <w:r>
        <w:rPr>
          <w:rFonts w:hint="eastAsia" w:ascii="Times New Roman" w:hAnsi="Times New Roman" w:cs="Times New Roman"/>
          <w:spacing w:val="8"/>
          <w:sz w:val="32"/>
          <w:szCs w:val="32"/>
          <w:highlight w:val="none"/>
          <w:lang w:val="en" w:eastAsia="zh-CN"/>
        </w:rPr>
        <w:t>、</w:t>
      </w:r>
      <w:r>
        <w:rPr>
          <w:rFonts w:hint="default" w:ascii="Times New Roman" w:hAnsi="Times New Roman" w:cs="Times New Roman"/>
          <w:spacing w:val="8"/>
          <w:sz w:val="32"/>
          <w:szCs w:val="32"/>
          <w:highlight w:val="none"/>
          <w:lang w:eastAsia="zh-CN"/>
        </w:rPr>
        <w:t>科研失败</w:t>
      </w:r>
      <w:r>
        <w:rPr>
          <w:rFonts w:hint="eastAsia" w:ascii="Times New Roman" w:hAnsi="Times New Roman" w:cs="Times New Roman"/>
          <w:spacing w:val="8"/>
          <w:sz w:val="32"/>
          <w:szCs w:val="32"/>
          <w:highlight w:val="none"/>
          <w:lang w:eastAsia="zh-CN"/>
        </w:rPr>
        <w:t>、</w:t>
      </w:r>
      <w:r>
        <w:rPr>
          <w:rFonts w:hint="default" w:ascii="Times New Roman" w:hAnsi="Times New Roman" w:cs="Times New Roman"/>
          <w:spacing w:val="8"/>
          <w:sz w:val="32"/>
          <w:szCs w:val="32"/>
          <w:highlight w:val="none"/>
          <w:lang w:eastAsia="zh-CN"/>
        </w:rPr>
        <w:t>资助项目未达到预期效果或未完成合同约定目标任务</w:t>
      </w:r>
      <w:r>
        <w:rPr>
          <w:rFonts w:ascii="Times New Roman" w:hAnsi="Times New Roman" w:cs="Times New Roman"/>
          <w:spacing w:val="8"/>
          <w:sz w:val="32"/>
          <w:szCs w:val="32"/>
          <w:highlight w:val="none"/>
        </w:rPr>
        <w:t>，</w:t>
      </w:r>
      <w:r>
        <w:rPr>
          <w:rFonts w:hint="eastAsia" w:ascii="Times New Roman" w:hAnsi="Times New Roman" w:cs="Times New Roman"/>
          <w:spacing w:val="8"/>
          <w:sz w:val="32"/>
          <w:szCs w:val="32"/>
          <w:highlight w:val="none"/>
          <w:lang w:eastAsia="zh-CN"/>
        </w:rPr>
        <w:t>但</w:t>
      </w:r>
      <w:r>
        <w:rPr>
          <w:rFonts w:hint="eastAsia" w:ascii="Times New Roman" w:hAnsi="Times New Roman"/>
          <w:spacing w:val="8"/>
          <w:sz w:val="32"/>
          <w:szCs w:val="32"/>
          <w:highlight w:val="none"/>
          <w:lang w:eastAsia="zh-CN"/>
        </w:rPr>
        <w:t>相关</w:t>
      </w:r>
      <w:r>
        <w:rPr>
          <w:rFonts w:ascii="Times New Roman" w:hAnsi="Times New Roman"/>
          <w:spacing w:val="8"/>
          <w:sz w:val="32"/>
          <w:szCs w:val="32"/>
          <w:highlight w:val="none"/>
        </w:rPr>
        <w:t>单位和人员已经履行了勤勉尽责义务且项目经费使用合规的，</w:t>
      </w:r>
      <w:r>
        <w:rPr>
          <w:rFonts w:hint="eastAsia" w:ascii="Times New Roman" w:hAnsi="Times New Roman"/>
          <w:spacing w:val="8"/>
          <w:sz w:val="32"/>
          <w:szCs w:val="32"/>
          <w:highlight w:val="none"/>
        </w:rPr>
        <w:t>经核实后，依据宽容失败原则</w:t>
      </w:r>
      <w:r>
        <w:rPr>
          <w:rFonts w:hint="eastAsia" w:ascii="Times New Roman" w:hAnsi="Times New Roman"/>
          <w:spacing w:val="8"/>
          <w:sz w:val="32"/>
          <w:szCs w:val="32"/>
          <w:highlight w:val="none"/>
          <w:lang w:eastAsia="zh-CN"/>
        </w:rPr>
        <w:t>的有关政策规定落实</w:t>
      </w:r>
      <w:r>
        <w:rPr>
          <w:rFonts w:ascii="Times New Roman" w:hAnsi="Times New Roman"/>
          <w:spacing w:val="8"/>
          <w:sz w:val="32"/>
          <w:szCs w:val="32"/>
          <w:highlight w:val="none"/>
        </w:rPr>
        <w:t>。</w:t>
      </w:r>
    </w:p>
    <w:p>
      <w:pPr>
        <w:pStyle w:val="11"/>
        <w:widowControl w:val="0"/>
        <w:numPr>
          <w:ilvl w:val="0"/>
          <w:numId w:val="2"/>
        </w:numPr>
        <w:tabs>
          <w:tab w:val="left" w:pos="2680"/>
        </w:tabs>
        <w:overflowPunct w:val="0"/>
        <w:spacing w:beforeAutospacing="0" w:afterAutospacing="0" w:line="560" w:lineRule="exact"/>
        <w:ind w:left="0" w:firstLine="672" w:firstLineChars="200"/>
        <w:jc w:val="both"/>
        <w:rPr>
          <w:rFonts w:ascii="Times New Roman" w:hAnsi="Times New Roman"/>
          <w:sz w:val="32"/>
          <w:szCs w:val="32"/>
          <w:highlight w:val="none"/>
        </w:rPr>
      </w:pPr>
      <w:r>
        <w:rPr>
          <w:rFonts w:hint="eastAsia" w:ascii="Times New Roman" w:hAnsi="Times New Roman"/>
          <w:spacing w:val="8"/>
          <w:sz w:val="32"/>
          <w:szCs w:val="32"/>
          <w:highlight w:val="none"/>
        </w:rPr>
        <w:t>市科技局建立科研失信联合惩戒制度，</w:t>
      </w:r>
      <w:r>
        <w:rPr>
          <w:rFonts w:ascii="Times New Roman" w:hAnsi="Times New Roman"/>
          <w:spacing w:val="8"/>
          <w:sz w:val="32"/>
          <w:szCs w:val="32"/>
          <w:highlight w:val="none"/>
        </w:rPr>
        <w:t>加强与相关行业主管部门信息共享、联动管理，依法依规开展联合惩戒，积极配合相关部门开展科研失信行为的调查处理，强化协同共治。</w:t>
      </w:r>
      <w:r>
        <w:rPr>
          <w:rFonts w:hint="eastAsia" w:ascii="Times New Roman" w:hAnsi="Times New Roman"/>
          <w:spacing w:val="8"/>
          <w:sz w:val="32"/>
          <w:szCs w:val="32"/>
          <w:highlight w:val="none"/>
        </w:rPr>
        <w:t>对性质恶劣、社会影响重大的严重失信行为责任主体，协同推动科研信息跨部门跨区域共享应用、联动管理，开展联合惩戒。</w:t>
      </w:r>
    </w:p>
    <w:p>
      <w:pPr>
        <w:pStyle w:val="11"/>
        <w:widowControl w:val="0"/>
        <w:numPr>
          <w:ilvl w:val="0"/>
          <w:numId w:val="2"/>
        </w:numPr>
        <w:tabs>
          <w:tab w:val="left" w:pos="2680"/>
        </w:tabs>
        <w:overflowPunct w:val="0"/>
        <w:spacing w:beforeAutospacing="0" w:afterAutospacing="0" w:line="560" w:lineRule="exact"/>
        <w:ind w:left="0" w:firstLine="720" w:firstLineChars="200"/>
        <w:jc w:val="both"/>
        <w:rPr>
          <w:rFonts w:ascii="Times New Roman" w:hAnsi="Times New Roman"/>
          <w:spacing w:val="20"/>
          <w:sz w:val="32"/>
          <w:szCs w:val="32"/>
          <w:highlight w:val="none"/>
        </w:rPr>
      </w:pPr>
      <w:r>
        <w:rPr>
          <w:rFonts w:ascii="Times New Roman" w:hAnsi="Times New Roman"/>
          <w:spacing w:val="20"/>
          <w:sz w:val="32"/>
          <w:szCs w:val="32"/>
          <w:highlight w:val="none"/>
        </w:rPr>
        <w:t>畅通社会公众等对科研诚信管理的监督渠道，引导相关责任主体加强科研诚信和作风学风建设。</w:t>
      </w:r>
    </w:p>
    <w:p>
      <w:pPr>
        <w:pStyle w:val="11"/>
        <w:widowControl w:val="0"/>
        <w:overflowPunct w:val="0"/>
        <w:spacing w:beforeAutospacing="0" w:afterAutospacing="0" w:line="560" w:lineRule="exact"/>
        <w:ind w:firstLine="672" w:firstLineChars="200"/>
        <w:jc w:val="both"/>
        <w:rPr>
          <w:rFonts w:ascii="Times New Roman" w:hAnsi="Times New Roman"/>
          <w:kern w:val="2"/>
          <w:sz w:val="32"/>
          <w:szCs w:val="32"/>
          <w:highlight w:val="none"/>
        </w:rPr>
      </w:pPr>
    </w:p>
    <w:p>
      <w:pPr>
        <w:numPr>
          <w:ilvl w:val="0"/>
          <w:numId w:val="9"/>
        </w:numPr>
        <w:overflowPunct w:val="0"/>
        <w:spacing w:line="560" w:lineRule="exact"/>
        <w:jc w:val="center"/>
        <w:rPr>
          <w:rFonts w:ascii="黑体" w:hAnsi="黑体" w:eastAsia="黑体" w:cs="黑体"/>
          <w:szCs w:val="32"/>
          <w:highlight w:val="none"/>
        </w:rPr>
      </w:pPr>
      <w:r>
        <w:rPr>
          <w:rFonts w:ascii="黑体" w:hAnsi="黑体" w:eastAsia="黑体" w:cs="黑体"/>
          <w:szCs w:val="32"/>
          <w:highlight w:val="none"/>
        </w:rPr>
        <w:t>附  则</w:t>
      </w:r>
    </w:p>
    <w:p>
      <w:pPr>
        <w:pStyle w:val="11"/>
        <w:numPr>
          <w:ilvl w:val="0"/>
          <w:numId w:val="2"/>
        </w:numPr>
        <w:tabs>
          <w:tab w:val="left" w:pos="2360"/>
        </w:tabs>
        <w:overflowPunct w:val="0"/>
        <w:spacing w:beforeAutospacing="0" w:afterAutospacing="0" w:line="560" w:lineRule="exact"/>
        <w:ind w:left="0" w:leftChars="0" w:firstLine="672" w:firstLineChars="200"/>
        <w:jc w:val="both"/>
        <w:rPr>
          <w:rFonts w:hint="eastAsia" w:ascii="Times New Roman" w:hAnsi="Times New Roman" w:cs="Times New Roman"/>
          <w:spacing w:val="8"/>
          <w:kern w:val="2"/>
          <w:sz w:val="32"/>
          <w:szCs w:val="32"/>
          <w:highlight w:val="none"/>
        </w:rPr>
      </w:pPr>
      <w:r>
        <w:rPr>
          <w:rFonts w:hint="eastAsia" w:ascii="Times New Roman" w:hAnsi="Times New Roman" w:cs="Times New Roman"/>
          <w:spacing w:val="8"/>
          <w:kern w:val="2"/>
          <w:sz w:val="32"/>
          <w:szCs w:val="32"/>
          <w:highlight w:val="none"/>
        </w:rPr>
        <w:t>本办法自</w:t>
      </w:r>
      <w:r>
        <w:rPr>
          <w:rFonts w:hint="eastAsia" w:ascii="Times New Roman" w:hAnsi="Times New Roman" w:eastAsia="仿宋_GB2312" w:cs="Times New Roman"/>
          <w:spacing w:val="8"/>
          <w:kern w:val="2"/>
          <w:sz w:val="32"/>
          <w:szCs w:val="32"/>
          <w:highlight w:val="none"/>
        </w:rPr>
        <w:t>2026</w:t>
      </w:r>
      <w:r>
        <w:rPr>
          <w:rFonts w:hint="eastAsia" w:ascii="Times New Roman" w:hAnsi="Times New Roman" w:cs="Times New Roman"/>
          <w:spacing w:val="8"/>
          <w:kern w:val="2"/>
          <w:sz w:val="32"/>
          <w:szCs w:val="32"/>
          <w:highlight w:val="none"/>
        </w:rPr>
        <w:t>年</w:t>
      </w:r>
      <w:r>
        <w:rPr>
          <w:rFonts w:hint="eastAsia" w:ascii="Times New Roman" w:hAnsi="Times New Roman" w:eastAsia="仿宋_GB2312" w:cs="Times New Roman"/>
          <w:spacing w:val="8"/>
          <w:kern w:val="2"/>
          <w:sz w:val="32"/>
          <w:szCs w:val="32"/>
          <w:highlight w:val="none"/>
        </w:rPr>
        <w:t>1</w:t>
      </w:r>
      <w:r>
        <w:rPr>
          <w:rFonts w:hint="eastAsia" w:ascii="Times New Roman" w:hAnsi="Times New Roman" w:cs="Times New Roman"/>
          <w:spacing w:val="8"/>
          <w:kern w:val="2"/>
          <w:sz w:val="32"/>
          <w:szCs w:val="32"/>
          <w:highlight w:val="none"/>
        </w:rPr>
        <w:t>月</w:t>
      </w:r>
      <w:r>
        <w:rPr>
          <w:rFonts w:hint="eastAsia" w:ascii="Times New Roman" w:hAnsi="Times New Roman" w:eastAsia="仿宋_GB2312" w:cs="Times New Roman"/>
          <w:spacing w:val="8"/>
          <w:kern w:val="2"/>
          <w:sz w:val="32"/>
          <w:szCs w:val="32"/>
          <w:highlight w:val="none"/>
        </w:rPr>
        <w:t>1</w:t>
      </w:r>
      <w:r>
        <w:rPr>
          <w:rFonts w:hint="eastAsia" w:ascii="Times New Roman" w:hAnsi="Times New Roman" w:cs="Times New Roman"/>
          <w:spacing w:val="8"/>
          <w:kern w:val="2"/>
          <w:sz w:val="32"/>
          <w:szCs w:val="32"/>
          <w:highlight w:val="none"/>
        </w:rPr>
        <w:t>日起实施，有效期</w:t>
      </w:r>
      <w:r>
        <w:rPr>
          <w:rFonts w:hint="eastAsia" w:ascii="Times New Roman" w:hAnsi="Times New Roman" w:cs="Times New Roman"/>
          <w:spacing w:val="8"/>
          <w:kern w:val="2"/>
          <w:sz w:val="32"/>
          <w:szCs w:val="32"/>
          <w:highlight w:val="none"/>
          <w:lang w:eastAsia="zh-CN"/>
        </w:rPr>
        <w:t>至</w:t>
      </w:r>
      <w:r>
        <w:rPr>
          <w:rFonts w:hint="eastAsia" w:ascii="Times New Roman" w:hAnsi="Times New Roman" w:cs="Times New Roman"/>
          <w:spacing w:val="8"/>
          <w:kern w:val="2"/>
          <w:sz w:val="32"/>
          <w:szCs w:val="32"/>
          <w:highlight w:val="none"/>
          <w:lang w:val="en-US" w:eastAsia="zh-CN"/>
        </w:rPr>
        <w:t>2030年12月31日</w:t>
      </w:r>
      <w:r>
        <w:rPr>
          <w:rFonts w:hint="eastAsia" w:ascii="Times New Roman" w:hAnsi="Times New Roman" w:cs="Times New Roman"/>
          <w:spacing w:val="8"/>
          <w:kern w:val="2"/>
          <w:sz w:val="32"/>
          <w:szCs w:val="32"/>
          <w:highlight w:val="none"/>
        </w:rPr>
        <w:t>，由市科技局负责解释。</w:t>
      </w:r>
    </w:p>
    <w:sectPr>
      <w:footerReference r:id="rId5" w:type="first"/>
      <w:footerReference r:id="rId3" w:type="default"/>
      <w:footerReference r:id="rId4" w:type="even"/>
      <w:pgSz w:w="11906" w:h="16838"/>
      <w:pgMar w:top="2098" w:right="1304" w:bottom="1304" w:left="1304" w:header="851" w:footer="738" w:gutter="0"/>
      <w:pgNumType w:fmt="decimal"/>
      <w:cols w:space="720" w:num="1"/>
      <w:docGrid w:linePitch="579" w:charSpace="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NEU-BZ-S92">
    <w:panose1 w:val="02020503000000020003"/>
    <w:charset w:val="86"/>
    <w:family w:val="roman"/>
    <w:pitch w:val="default"/>
    <w:sig w:usb0="E00002FF" w:usb1="5ACFECFE" w:usb2="05000016" w:usb3="00000000" w:csb0="003E0001" w:csb1="00000000"/>
  </w:font>
  <w:font w:name="华康简标题宋">
    <w:panose1 w:val="02010509000101010101"/>
    <w:charset w:val="86"/>
    <w:family w:val="modern"/>
    <w:pitch w:val="default"/>
    <w:sig w:usb0="00000283" w:usb1="080F0C00" w:usb2="00000012" w:usb3="00000000" w:csb0="00160001"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Style w:val="17"/>
        <w:rFonts w:hint="eastAsia"/>
      </w:rPr>
    </w:pPr>
    <w:r>
      <mc:AlternateContent>
        <mc:Choice Requires="wps">
          <w:drawing>
            <wp:anchor distT="0" distB="0" distL="114300" distR="114300" simplePos="0" relativeHeight="251658240" behindDoc="0" locked="0" layoutInCell="1" allowOverlap="1">
              <wp:simplePos x="0" y="0"/>
              <wp:positionH relativeFrom="margin">
                <wp:posOffset>4868545</wp:posOffset>
              </wp:positionH>
              <wp:positionV relativeFrom="paragraph">
                <wp:posOffset>-34925</wp:posOffset>
              </wp:positionV>
              <wp:extent cx="1031875" cy="228600"/>
              <wp:effectExtent l="2540" t="0" r="3810" b="3175"/>
              <wp:wrapNone/>
              <wp:docPr id="814267999" name="文本框 17"/>
              <wp:cNvGraphicFramePr/>
              <a:graphic xmlns:a="http://schemas.openxmlformats.org/drawingml/2006/main">
                <a:graphicData uri="http://schemas.microsoft.com/office/word/2010/wordprocessingShape">
                  <wps:wsp>
                    <wps:cNvSpPr txBox="true">
                      <a:spLocks noChangeArrowheads="true"/>
                    </wps:cNvSpPr>
                    <wps:spPr bwMode="auto">
                      <a:xfrm>
                        <a:off x="0" y="0"/>
                        <a:ext cx="1031875" cy="228600"/>
                      </a:xfrm>
                      <a:prstGeom prst="rect">
                        <a:avLst/>
                      </a:prstGeom>
                      <a:noFill/>
                      <a:ln>
                        <a:noFill/>
                      </a:ln>
                    </wps:spPr>
                    <wps:txbx>
                      <w:txbxContent>
                        <w:p>
                          <w:pPr>
                            <w:pStyle w:val="9"/>
                          </w:pPr>
                          <w:r>
                            <w:rPr>
                              <w:rStyle w:val="17"/>
                              <w:rFonts w:hint="eastAsia"/>
                            </w:rPr>
                            <w:t>—</w:t>
                          </w:r>
                          <w:r>
                            <w:rPr>
                              <w:rFonts w:ascii="Times New Roman" w:hAnsi="Times New Roman"/>
                            </w:rPr>
                            <w:fldChar w:fldCharType="begin"/>
                          </w:r>
                          <w:r>
                            <w:rPr>
                              <w:rStyle w:val="17"/>
                            </w:rPr>
                            <w:instrText xml:space="preserve">PAGE  </w:instrText>
                          </w:r>
                          <w:r>
                            <w:rPr>
                              <w:rFonts w:ascii="Times New Roman" w:hAnsi="Times New Roman"/>
                            </w:rPr>
                            <w:fldChar w:fldCharType="separate"/>
                          </w:r>
                          <w:r>
                            <w:rPr>
                              <w:rStyle w:val="17"/>
                            </w:rPr>
                            <w:t>3</w:t>
                          </w:r>
                          <w:r>
                            <w:rPr>
                              <w:rFonts w:ascii="Times New Roman" w:hAnsi="Times New Roman"/>
                            </w:rPr>
                            <w:fldChar w:fldCharType="end"/>
                          </w:r>
                          <w:r>
                            <w:rPr>
                              <w:rStyle w:val="17"/>
                              <w:rFonts w:hint="eastAsia"/>
                            </w:rPr>
                            <w:t>—</w:t>
                          </w:r>
                        </w:p>
                      </w:txbxContent>
                    </wps:txbx>
                    <wps:bodyPr rot="0" vert="horz" wrap="square" lIns="0" tIns="0" rIns="0" bIns="0" anchor="t" anchorCtr="false" upright="true">
                      <a:noAutofit/>
                    </wps:bodyPr>
                  </wps:wsp>
                </a:graphicData>
              </a:graphic>
            </wp:anchor>
          </w:drawing>
        </mc:Choice>
        <mc:Fallback>
          <w:pict>
            <v:shape id="文本框 17" o:spid="_x0000_s1026" o:spt="202" type="#_x0000_t202" style="position:absolute;left:0pt;margin-left:383.35pt;margin-top:-2.75pt;height:18pt;width:81.25pt;mso-position-horizontal-relative:margin;z-index:251658240;mso-width-relative:page;mso-height-relative:page;" filled="f" stroked="f" coordsize="21600,21600" o:gfxdata="UEsFBgAAAAAAAAAAAAAAAAAAAAAAAFBLAwQKAAAAAACHTuJAAAAAAAAAAAAAAAAABAAAAGRycy9Q&#10;SwMEFAAAAAgAh07iQD8sBCbZAAAACQEAAA8AAABkcnMvZG93bnJldi54bWxNj8tOwzAQRfdI/IM1&#10;SOxau0FJScikQghWSBVpWLB0YjexGo9D7D74e9wVLEf36N4z5eZiR3bSszeOEFZLAUxT55ShHuGz&#10;eVs8AvNBkpKjI43woz1sqtubUhbKnanWp13oWSwhX0iEIYSp4Nx3g7bSL92kKWZ7N1sZ4jn3XM3y&#10;HMvtyBMhMm6lobgwyEm/DLo77I4W4fmL6lfzvW0/6n1tmiYX9J4dEO/vVuIJWNCX8AfDVT+qQxWd&#10;Wnck5dmIsM6ydUQRFmkKLAJ5kifAWoQHkQKvSv7/g+oXUEsDBBQAAAAIAIdO4kDoJeBeAgIAAM0D&#10;AAAOAAAAZHJzL2Uyb0RvYy54bWytU82O0zAQviPxDpbvNE2B/kRNV8uuFiEtP9LCA0wdp4lIPGbs&#10;NikPwL4BJy7cea4+B2OnLQvcEBdrPJ755ptvxsuLvm3ETpOr0eQyHY2l0EZhUZtNLj+8v3kyl8J5&#10;MAU0aHQu99rJi9XjR8vOZnqCFTaFJsEgxmWdzWXlvc2SxKlKt+BGaLXhxxKpBc9X2iQFQcfobZNM&#10;xuNp0iEVllBp59h7PTzKVcQvS63827J02osml8zNx5PiuQ5nslpCtiGwVa2ONOAfWLRQGy56hroG&#10;D2JL9V9Qba0IHZZ+pLBNsCxrpWMP3E06/qObuwqsjr2wOM6eZXL/D1a92b0jURe5nKfPJtPZYrGQ&#10;wkDLozp8vT98+3H4/kWks6BTZ13G4XeWE3z/AvtcetoGfpA5e4vqoxMGryowG31JhF2loWCqMYjz&#10;kwcAA5oLUOvuNRZcDrYeI1ZfUhswWRzBNXhq+/OkdO+FYmc6fprOZ8+lUPw2mcyn4zjKBLJTtiXn&#10;X2psRTBySbwJER12t84HNpCdQkIxgzd108RtaMxvDg4Mnsg+EB6o+37dHzVZY7HnPgiH5eLPwEaF&#10;9FmKjhcrl+7TFkhL0bwyLEfYwpNBJ2N9MsAoTmXRpBjMK8+3EhrHAFtL9aZi9LPuBi9ZtrKOHQV9&#10;BzJHurwzsdHjfoelfHiPUb9+4e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ywEJtkAAAAJAQAA&#10;DwAAAAAAAAABACAAAAA4AAAAZHJzL2Rvd25yZXYueG1sUEsBAhQAFAAAAAgAh07iQOgl4F4CAgAA&#10;zQMAAA4AAAAAAAAAAQAgAAAAPgEAAGRycy9lMm9Eb2MueG1sUEsFBgAAAAAGAAYAWQEAALIFAAAA&#10;AA==&#10;">
              <v:fill on="f" focussize="0,0"/>
              <v:stroke on="f"/>
              <v:imagedata o:title=""/>
              <o:lock v:ext="edit" aspectratio="f"/>
              <v:textbox inset="0mm,0mm,0mm,0mm">
                <w:txbxContent>
                  <w:p>
                    <w:pPr>
                      <w:pStyle w:val="9"/>
                    </w:pPr>
                    <w:r>
                      <w:rPr>
                        <w:rStyle w:val="17"/>
                        <w:rFonts w:hint="eastAsia"/>
                      </w:rPr>
                      <w:t>—</w:t>
                    </w:r>
                    <w:r>
                      <w:rPr>
                        <w:rFonts w:ascii="Times New Roman" w:hAnsi="Times New Roman"/>
                      </w:rPr>
                      <w:fldChar w:fldCharType="begin"/>
                    </w:r>
                    <w:r>
                      <w:rPr>
                        <w:rStyle w:val="17"/>
                      </w:rPr>
                      <w:instrText xml:space="preserve">PAGE  </w:instrText>
                    </w:r>
                    <w:r>
                      <w:rPr>
                        <w:rFonts w:ascii="Times New Roman" w:hAnsi="Times New Roman"/>
                      </w:rPr>
                      <w:fldChar w:fldCharType="separate"/>
                    </w:r>
                    <w:r>
                      <w:rPr>
                        <w:rStyle w:val="17"/>
                      </w:rPr>
                      <w:t>3</w:t>
                    </w:r>
                    <w:r>
                      <w:rPr>
                        <w:rFonts w:ascii="Times New Roman" w:hAnsi="Times New Roman"/>
                      </w:rPr>
                      <w:fldChar w:fldCharType="end"/>
                    </w:r>
                    <w:r>
                      <w:rPr>
                        <w:rStyle w:val="17"/>
                        <w:rFonts w:hint="eastAsia"/>
                      </w:rPr>
                      <w:t>—</w:t>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14935" cy="230505"/>
              <wp:effectExtent l="0" t="1905" r="3175" b="0"/>
              <wp:wrapNone/>
              <wp:docPr id="268391064" name="文本框 18"/>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9"/>
                            <w:jc w:val="center"/>
                            <w:rPr>
                              <w:rStyle w:val="17"/>
                              <w:rFonts w:hint="eastAsia" w:ascii="NEU-BZ-S92" w:hAnsi="NEU-BZ-S92" w:eastAsia="NEU-BZ-S92"/>
                            </w:rPr>
                          </w:pPr>
                        </w:p>
                      </w:txbxContent>
                    </wps:txbx>
                    <wps:bodyPr rot="0" vert="horz" wrap="none" lIns="0" tIns="0" rIns="0" bIns="0" anchor="t" anchorCtr="false" upright="true">
                      <a:spAutoFit/>
                    </wps:bodyPr>
                  </wps:wsp>
                </a:graphicData>
              </a:graphic>
            </wp:anchor>
          </w:drawing>
        </mc:Choice>
        <mc:Fallback>
          <w:pict>
            <v:shape id="文本框 18" o:spid="_x0000_s1026" o:spt="202" type="#_x0000_t202" style="position:absolute;left:0pt;margin-top:0pt;height:18.15pt;width:9.05pt;mso-position-horizontal:outside;mso-position-horizontal-relative:margin;mso-wrap-style:none;z-index:251657216;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Tg9Uvf4BAADKAwAADgAAAGRy&#10;cy9lMm9Eb2MueG1srVPNjtMwEL4j8Q6W7zRJu626UdPVsqsipOVHWniAqeM0FonHst0m5QHgDThx&#10;4c5z9TkYO223wA1xscbj8TfffP68uOnbhu2kdQp1wbNRypnUAkulNwX/+GH1Ys6Z86BLaFDLgu+l&#10;4zfL588WncnlGGtsSmkZgWiXd6bgtfcmTxInatmCG6GRmg4rtC142tpNUlroCL1tknGazpIObWks&#10;CukcZe+HQ76M+FUlhX9XVU561hScuPm42riuw5osF5BvLJhaiSMN+AcWLShNTc9Q9+CBba36C6pV&#10;wqLDyo8EtglWlRIyzkDTZOkf0zzWYGSchcRx5iyT+3+w4u3uvWWqLPh4Np9cZ+nsijMNLT3V4dvX&#10;w/efhx9fWDYPOnXG5VT+aOiC719iX3Bvt4Ef5M48oPjkmMa7GvRG3lqLXS2hJKqxiO4nFwADmgtQ&#10;6+4NltQOth4jVl/ZNmCSOIx60Kvtzy8le88EJbPs6noy5UzQ0XiSTtNpYJhAfrpsrPOvJLYsBAW3&#10;ZIQIDrsH54fSU0nopXGlmobykDf6twRhhkwkH/gOzH2/7qk6TLTGck9jWBy8RX+BghrtZ8468lXB&#10;NRmfs+a1Ji2CBU+BPQXrUwBa0EVSjLMhvPO0q6BxBLA1Vm1qwr4Q/ZY0W6k4zxOVI1kyTFTkaO7g&#10;yMt9rHr6gs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6vbvu9EAAAADAQAADwAAAAAAAAABACAA&#10;AAA4AAAAZHJzL2Rvd25yZXYueG1sUEsBAhQAFAAAAAgAh07iQE4PVL3+AQAAygMAAA4AAAAAAAAA&#10;AQAgAAAANgEAAGRycy9lMm9Eb2MueG1sUEsFBgAAAAAGAAYAWQEAAKYFAAAAAA==&#10;">
              <v:fill on="f" focussize="0,0"/>
              <v:stroke on="f"/>
              <v:imagedata o:title=""/>
              <o:lock v:ext="edit" aspectratio="f"/>
              <v:textbox inset="0mm,0mm,0mm,0mm" style="mso-fit-shape-to-text:t;">
                <w:txbxContent>
                  <w:p>
                    <w:pPr>
                      <w:pStyle w:val="9"/>
                      <w:jc w:val="center"/>
                      <w:rPr>
                        <w:rStyle w:val="17"/>
                        <w:rFonts w:hint="eastAsia" w:ascii="NEU-BZ-S92" w:hAnsi="NEU-BZ-S92" w:eastAsia="NEU-BZ-S9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pPr>
    <w: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34290</wp:posOffset>
              </wp:positionV>
              <wp:extent cx="887730" cy="274320"/>
              <wp:effectExtent l="635" t="3175" r="0" b="0"/>
              <wp:wrapNone/>
              <wp:docPr id="1651922753" name="文本框 19"/>
              <wp:cNvGraphicFramePr/>
              <a:graphic xmlns:a="http://schemas.openxmlformats.org/drawingml/2006/main">
                <a:graphicData uri="http://schemas.microsoft.com/office/word/2010/wordprocessingShape">
                  <wps:wsp>
                    <wps:cNvSpPr txBox="true">
                      <a:spLocks noChangeArrowheads="true"/>
                    </wps:cNvSpPr>
                    <wps:spPr bwMode="auto">
                      <a:xfrm>
                        <a:off x="0" y="0"/>
                        <a:ext cx="887730" cy="274320"/>
                      </a:xfrm>
                      <a:prstGeom prst="rect">
                        <a:avLst/>
                      </a:prstGeom>
                      <a:noFill/>
                      <a:ln>
                        <a:noFill/>
                      </a:ln>
                    </wps:spPr>
                    <wps:txbx>
                      <w:txbxContent>
                        <w:p>
                          <w:pPr>
                            <w:pStyle w:val="9"/>
                            <w:ind w:right="360"/>
                            <w:jc w:val="both"/>
                          </w:pPr>
                          <w:r>
                            <w:rPr>
                              <w:rStyle w:val="17"/>
                              <w:rFonts w:hint="eastAsia"/>
                            </w:rPr>
                            <w:t>—</w:t>
                          </w:r>
                          <w:r>
                            <w:rPr>
                              <w:rFonts w:ascii="Times New Roman" w:hAnsi="Times New Roman"/>
                              <w:szCs w:val="28"/>
                            </w:rPr>
                            <w:fldChar w:fldCharType="begin"/>
                          </w:r>
                          <w:r>
                            <w:rPr>
                              <w:rStyle w:val="17"/>
                              <w:szCs w:val="28"/>
                            </w:rPr>
                            <w:instrText xml:space="preserve">PAGE  </w:instrText>
                          </w:r>
                          <w:r>
                            <w:rPr>
                              <w:rFonts w:ascii="Times New Roman" w:hAnsi="Times New Roman"/>
                              <w:szCs w:val="28"/>
                            </w:rPr>
                            <w:fldChar w:fldCharType="separate"/>
                          </w:r>
                          <w:r>
                            <w:rPr>
                              <w:rStyle w:val="17"/>
                              <w:szCs w:val="28"/>
                            </w:rPr>
                            <w:t>2</w:t>
                          </w:r>
                          <w:r>
                            <w:rPr>
                              <w:rFonts w:ascii="Times New Roman" w:hAnsi="Times New Roman"/>
                              <w:szCs w:val="28"/>
                            </w:rPr>
                            <w:fldChar w:fldCharType="end"/>
                          </w:r>
                          <w:r>
                            <w:rPr>
                              <w:rStyle w:val="17"/>
                              <w:rFonts w:hint="eastAsia"/>
                            </w:rPr>
                            <w:t>—</w:t>
                          </w:r>
                        </w:p>
                      </w:txbxContent>
                    </wps:txbx>
                    <wps:bodyPr rot="0" vert="horz" wrap="square" lIns="0" tIns="0" rIns="0" bIns="0" anchor="t" anchorCtr="false" upright="true">
                      <a:noAutofit/>
                    </wps:bodyPr>
                  </wps:wsp>
                </a:graphicData>
              </a:graphic>
            </wp:anchor>
          </w:drawing>
        </mc:Choice>
        <mc:Fallback>
          <w:pict>
            <v:shape id="文本框 19" o:spid="_x0000_s1026" o:spt="202" type="#_x0000_t202" style="position:absolute;left:0pt;margin-left:0.05pt;margin-top:2.7pt;height:21.6pt;width:69.9pt;mso-position-horizontal-relative:margin;z-index:251659264;mso-width-relative:page;mso-height-relative:page;" filled="f" stroked="f" coordsize="21600,21600" o:gfxdata="UEsFBgAAAAAAAAAAAAAAAAAAAAAAAFBLAwQKAAAAAACHTuJAAAAAAAAAAAAAAAAABAAAAGRycy9Q&#10;SwMEFAAAAAgAh07iQL25+zbUAAAABQEAAA8AAABkcnMvZG93bnJldi54bWxNjstOwzAURPdI/IN1&#10;kdhRu6VETYhTVQhWSIg0XbB04tvEanwdYvfB3+Os2uVoRmdOvr7Ynp1w9MaRhPlMAENqnDbUSthV&#10;H08rYD4o0qp3hBL+0MO6uL/LVabdmUo8bUPLIoR8piR0IQwZ577p0Co/cwNS7PZutCrEOLZcj+oc&#10;4bbnCyESbpWh+NCpAd86bA7bo5Ww+aHy3fx+1d/lvjRVlQr6TA5SPj7MxSuwgJdwHcOkH9WhiE61&#10;O5L2rJ8yCxJelsCm8jlNgdUSlqsEeJHzW/viH1BLAwQUAAAACACHTuJAL0g78gICAADNAwAADgAA&#10;AGRycy9lMm9Eb2MueG1srVPNjtMwEL4j8Q6W7zRtym67UdPVsqtFSMuPtPAAU8dpIhKPGbtNygOw&#10;b8CJC3eeq8/B2GnLAjfExRrPjL/55pvx4rJvG7HV5Go0uZyMxlJoo7CozTqXH97fPptL4TyYAho0&#10;Opc77eTl8umTRWcznWKFTaFJMIhxWWdzWXlvsyRxqtItuBFabThYIrXg+UrrpCDoGL1tknQ8Pk86&#10;pMISKu0ce2+GoFxG/LLUyr8tS6e9aHLJ3Hw8KZ6rcCbLBWRrAlvV6kAD/oFFC7XhoieoG/AgNlT/&#10;BdXWitBh6UcK2wTLslY69sDdTMZ/dHNfgdWxFxbH2ZNM7v/BqjfbdyTqgmd3fja5SNPZ2VQKAy3P&#10;av/1Yf/tx/77FzG5CEJ11mWcf2/5he9fYJ9LT5tAEDJn71B9dMLgdQVmra+IsKs0FMw1JvH75BHA&#10;gOYC1Kp7jQWXg43HiNWX1AZMVkdwDR7b7jQq3Xuh2Dmfz2ZTjigOpbPn0zSOMoHs+NiS8y81tiIY&#10;uSTehAgO2zvnAxnIjimhlsHbumniNjTmNwcnBk8kH/gOzH2/6g+SrLDYcRuEw3LxZ2CjQvosRceL&#10;lUv3aQOkpWheGVYjbOHRoKOxOhpgFD9lzaQYzGvPtxIaxwAbS/W6YvST7AavWLWyjh0FeQcyB7q8&#10;M7HRw36HpXx8j1m/fuH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L25+zbUAAAABQEAAA8AAAAA&#10;AAAAAQAgAAAAOAAAAGRycy9kb3ducmV2LnhtbFBLAQIUABQAAAAIAIdO4kAvSDvyAgIAAM0DAAAO&#10;AAAAAAAAAAEAIAAAADkBAABkcnMvZTJvRG9jLnhtbFBLBQYAAAAABgAGAFkBAACtBQAAAAA=&#10;">
              <v:fill on="f" focussize="0,0"/>
              <v:stroke on="f"/>
              <v:imagedata o:title=""/>
              <o:lock v:ext="edit" aspectratio="f"/>
              <v:textbox inset="0mm,0mm,0mm,0mm">
                <w:txbxContent>
                  <w:p>
                    <w:pPr>
                      <w:pStyle w:val="9"/>
                      <w:ind w:right="360"/>
                      <w:jc w:val="both"/>
                    </w:pPr>
                    <w:r>
                      <w:rPr>
                        <w:rStyle w:val="17"/>
                        <w:rFonts w:hint="eastAsia"/>
                      </w:rPr>
                      <w:t>—</w:t>
                    </w:r>
                    <w:r>
                      <w:rPr>
                        <w:rFonts w:ascii="Times New Roman" w:hAnsi="Times New Roman"/>
                        <w:szCs w:val="28"/>
                      </w:rPr>
                      <w:fldChar w:fldCharType="begin"/>
                    </w:r>
                    <w:r>
                      <w:rPr>
                        <w:rStyle w:val="17"/>
                        <w:szCs w:val="28"/>
                      </w:rPr>
                      <w:instrText xml:space="preserve">PAGE  </w:instrText>
                    </w:r>
                    <w:r>
                      <w:rPr>
                        <w:rFonts w:ascii="Times New Roman" w:hAnsi="Times New Roman"/>
                        <w:szCs w:val="28"/>
                      </w:rPr>
                      <w:fldChar w:fldCharType="separate"/>
                    </w:r>
                    <w:r>
                      <w:rPr>
                        <w:rStyle w:val="17"/>
                        <w:szCs w:val="28"/>
                      </w:rPr>
                      <w:t>2</w:t>
                    </w:r>
                    <w:r>
                      <w:rPr>
                        <w:rFonts w:ascii="Times New Roman" w:hAnsi="Times New Roman"/>
                        <w:szCs w:val="28"/>
                      </w:rPr>
                      <w:fldChar w:fldCharType="end"/>
                    </w:r>
                    <w:r>
                      <w:rPr>
                        <w:rStyle w:val="17"/>
                        <w:rFonts w:hint="eastAsi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9C50"/>
    <w:multiLevelType w:val="singleLevel"/>
    <w:tmpl w:val="8AC39C50"/>
    <w:lvl w:ilvl="0" w:tentative="0">
      <w:start w:val="1"/>
      <w:numFmt w:val="chineseCounting"/>
      <w:suff w:val="nothing"/>
      <w:lvlText w:val="（%1）"/>
      <w:lvlJc w:val="left"/>
      <w:rPr>
        <w:rFonts w:hint="eastAsia"/>
      </w:rPr>
    </w:lvl>
  </w:abstractNum>
  <w:abstractNum w:abstractNumId="1">
    <w:nsid w:val="9FEE628C"/>
    <w:multiLevelType w:val="singleLevel"/>
    <w:tmpl w:val="9FEE628C"/>
    <w:lvl w:ilvl="0" w:tentative="0">
      <w:start w:val="1"/>
      <w:numFmt w:val="chineseCounting"/>
      <w:suff w:val="nothing"/>
      <w:lvlText w:val="（%1）"/>
      <w:lvlJc w:val="left"/>
      <w:rPr>
        <w:rFonts w:hint="eastAsia"/>
      </w:rPr>
    </w:lvl>
  </w:abstractNum>
  <w:abstractNum w:abstractNumId="2">
    <w:nsid w:val="B1FE8C13"/>
    <w:multiLevelType w:val="singleLevel"/>
    <w:tmpl w:val="B1FE8C13"/>
    <w:lvl w:ilvl="0" w:tentative="0">
      <w:start w:val="1"/>
      <w:numFmt w:val="chineseCounting"/>
      <w:suff w:val="space"/>
      <w:lvlText w:val="第%1章"/>
      <w:lvlJc w:val="left"/>
      <w:rPr>
        <w:rFonts w:hint="eastAsia"/>
      </w:rPr>
    </w:lvl>
  </w:abstractNum>
  <w:abstractNum w:abstractNumId="3">
    <w:nsid w:val="DCECC07A"/>
    <w:multiLevelType w:val="singleLevel"/>
    <w:tmpl w:val="DCECC07A"/>
    <w:lvl w:ilvl="0" w:tentative="0">
      <w:start w:val="1"/>
      <w:numFmt w:val="chineseCounting"/>
      <w:suff w:val="nothing"/>
      <w:lvlText w:val="（%1）"/>
      <w:lvlJc w:val="left"/>
      <w:rPr>
        <w:rFonts w:hint="eastAsia"/>
      </w:rPr>
    </w:lvl>
  </w:abstractNum>
  <w:abstractNum w:abstractNumId="4">
    <w:nsid w:val="DD6FD2BF"/>
    <w:multiLevelType w:val="singleLevel"/>
    <w:tmpl w:val="DD6FD2BF"/>
    <w:lvl w:ilvl="0" w:tentative="0">
      <w:start w:val="1"/>
      <w:numFmt w:val="chineseCounting"/>
      <w:suff w:val="nothing"/>
      <w:lvlText w:val="（%1）"/>
      <w:lvlJc w:val="left"/>
      <w:rPr>
        <w:rFonts w:hint="eastAsia"/>
      </w:rPr>
    </w:lvl>
  </w:abstractNum>
  <w:abstractNum w:abstractNumId="5">
    <w:nsid w:val="DED5F0B7"/>
    <w:multiLevelType w:val="singleLevel"/>
    <w:tmpl w:val="DED5F0B7"/>
    <w:lvl w:ilvl="0" w:tentative="0">
      <w:start w:val="1"/>
      <w:numFmt w:val="chineseCounting"/>
      <w:suff w:val="nothing"/>
      <w:lvlText w:val="（%1）"/>
      <w:lvlJc w:val="left"/>
      <w:rPr>
        <w:rFonts w:hint="eastAsia"/>
      </w:rPr>
    </w:lvl>
  </w:abstractNum>
  <w:abstractNum w:abstractNumId="6">
    <w:nsid w:val="EDF6B1A4"/>
    <w:multiLevelType w:val="singleLevel"/>
    <w:tmpl w:val="EDF6B1A4"/>
    <w:lvl w:ilvl="0" w:tentative="0">
      <w:start w:val="1"/>
      <w:numFmt w:val="chineseCounting"/>
      <w:suff w:val="nothing"/>
      <w:lvlText w:val="（%1）"/>
      <w:lvlJc w:val="left"/>
      <w:rPr>
        <w:rFonts w:hint="eastAsia"/>
      </w:rPr>
    </w:lvl>
  </w:abstractNum>
  <w:abstractNum w:abstractNumId="7">
    <w:nsid w:val="F2B77F01"/>
    <w:multiLevelType w:val="singleLevel"/>
    <w:tmpl w:val="F2B77F01"/>
    <w:lvl w:ilvl="0" w:tentative="0">
      <w:start w:val="1"/>
      <w:numFmt w:val="chineseCounting"/>
      <w:suff w:val="nothing"/>
      <w:lvlText w:val="（%1）"/>
      <w:lvlJc w:val="left"/>
      <w:rPr>
        <w:rFonts w:hint="eastAsia"/>
      </w:rPr>
    </w:lvl>
  </w:abstractNum>
  <w:abstractNum w:abstractNumId="8">
    <w:nsid w:val="F6EF7614"/>
    <w:multiLevelType w:val="singleLevel"/>
    <w:tmpl w:val="F6EF7614"/>
    <w:lvl w:ilvl="0" w:tentative="0">
      <w:start w:val="1"/>
      <w:numFmt w:val="chineseCounting"/>
      <w:suff w:val="nothing"/>
      <w:lvlText w:val="（%1）"/>
      <w:lvlJc w:val="left"/>
      <w:rPr>
        <w:rFonts w:hint="eastAsia"/>
      </w:rPr>
    </w:lvl>
  </w:abstractNum>
  <w:abstractNum w:abstractNumId="9">
    <w:nsid w:val="FBBA9BFD"/>
    <w:multiLevelType w:val="singleLevel"/>
    <w:tmpl w:val="FBBA9BFD"/>
    <w:lvl w:ilvl="0" w:tentative="0">
      <w:start w:val="1"/>
      <w:numFmt w:val="chineseCounting"/>
      <w:suff w:val="nothing"/>
      <w:lvlText w:val="（%1）"/>
      <w:lvlJc w:val="left"/>
      <w:rPr>
        <w:rFonts w:hint="eastAsia"/>
      </w:rPr>
    </w:lvl>
  </w:abstractNum>
  <w:abstractNum w:abstractNumId="10">
    <w:nsid w:val="FBBFB4D0"/>
    <w:multiLevelType w:val="singleLevel"/>
    <w:tmpl w:val="FBBFB4D0"/>
    <w:lvl w:ilvl="0" w:tentative="0">
      <w:start w:val="1"/>
      <w:numFmt w:val="chineseCounting"/>
      <w:suff w:val="nothing"/>
      <w:lvlText w:val="（%1）"/>
      <w:lvlJc w:val="left"/>
      <w:rPr>
        <w:rFonts w:hint="eastAsia"/>
      </w:rPr>
    </w:lvl>
  </w:abstractNum>
  <w:abstractNum w:abstractNumId="11">
    <w:nsid w:val="FD53420A"/>
    <w:multiLevelType w:val="singleLevel"/>
    <w:tmpl w:val="FD53420A"/>
    <w:lvl w:ilvl="0" w:tentative="0">
      <w:start w:val="1"/>
      <w:numFmt w:val="chineseCounting"/>
      <w:suff w:val="nothing"/>
      <w:lvlText w:val="（%1）"/>
      <w:lvlJc w:val="left"/>
      <w:rPr>
        <w:rFonts w:hint="eastAsia"/>
      </w:rPr>
    </w:lvl>
  </w:abstractNum>
  <w:abstractNum w:abstractNumId="12">
    <w:nsid w:val="367FF294"/>
    <w:multiLevelType w:val="singleLevel"/>
    <w:tmpl w:val="367FF294"/>
    <w:lvl w:ilvl="0" w:tentative="0">
      <w:start w:val="1"/>
      <w:numFmt w:val="chineseCounting"/>
      <w:suff w:val="nothing"/>
      <w:lvlText w:val="（%1）"/>
      <w:lvlJc w:val="left"/>
      <w:rPr>
        <w:rFonts w:hint="eastAsia"/>
      </w:rPr>
    </w:lvl>
  </w:abstractNum>
  <w:abstractNum w:abstractNumId="13">
    <w:nsid w:val="616693FB"/>
    <w:multiLevelType w:val="singleLevel"/>
    <w:tmpl w:val="616693FB"/>
    <w:lvl w:ilvl="0" w:tentative="0">
      <w:start w:val="5"/>
      <w:numFmt w:val="chineseCounting"/>
      <w:suff w:val="space"/>
      <w:lvlText w:val="第%1章"/>
      <w:lvlJc w:val="left"/>
    </w:lvl>
  </w:abstractNum>
  <w:abstractNum w:abstractNumId="14">
    <w:nsid w:val="63C422EB"/>
    <w:multiLevelType w:val="multilevel"/>
    <w:tmpl w:val="63C422EB"/>
    <w:lvl w:ilvl="0" w:tentative="0">
      <w:start w:val="1"/>
      <w:numFmt w:val="chineseCountingThousand"/>
      <w:lvlText w:val="第%1条 "/>
      <w:lvlJc w:val="left"/>
      <w:pPr>
        <w:ind w:left="1433" w:hanging="440"/>
      </w:pPr>
      <w:rPr>
        <w:rFonts w:hint="eastAsia" w:eastAsia="黑体"/>
        <w:b w:val="0"/>
        <w:bCs/>
        <w:spacing w:val="8"/>
        <w:w w:val="100"/>
        <w:position w:val="0"/>
      </w:rPr>
    </w:lvl>
    <w:lvl w:ilvl="1" w:tentative="0">
      <w:start w:val="1"/>
      <w:numFmt w:val="lowerLetter"/>
      <w:lvlText w:val="%2)"/>
      <w:lvlJc w:val="left"/>
      <w:pPr>
        <w:ind w:left="1405" w:hanging="440"/>
      </w:pPr>
    </w:lvl>
    <w:lvl w:ilvl="2" w:tentative="0">
      <w:start w:val="1"/>
      <w:numFmt w:val="lowerRoman"/>
      <w:lvlText w:val="%3."/>
      <w:lvlJc w:val="right"/>
      <w:pPr>
        <w:ind w:left="1845" w:hanging="440"/>
      </w:pPr>
    </w:lvl>
    <w:lvl w:ilvl="3" w:tentative="0">
      <w:start w:val="1"/>
      <w:numFmt w:val="decimal"/>
      <w:lvlText w:val="%4."/>
      <w:lvlJc w:val="left"/>
      <w:pPr>
        <w:ind w:left="2285" w:hanging="440"/>
      </w:pPr>
    </w:lvl>
    <w:lvl w:ilvl="4" w:tentative="0">
      <w:start w:val="1"/>
      <w:numFmt w:val="lowerLetter"/>
      <w:lvlText w:val="%5)"/>
      <w:lvlJc w:val="left"/>
      <w:pPr>
        <w:ind w:left="2725" w:hanging="440"/>
      </w:pPr>
    </w:lvl>
    <w:lvl w:ilvl="5" w:tentative="0">
      <w:start w:val="1"/>
      <w:numFmt w:val="lowerRoman"/>
      <w:lvlText w:val="%6."/>
      <w:lvlJc w:val="right"/>
      <w:pPr>
        <w:ind w:left="3165" w:hanging="440"/>
      </w:pPr>
    </w:lvl>
    <w:lvl w:ilvl="6" w:tentative="0">
      <w:start w:val="1"/>
      <w:numFmt w:val="decimal"/>
      <w:lvlText w:val="%7."/>
      <w:lvlJc w:val="left"/>
      <w:pPr>
        <w:ind w:left="3605" w:hanging="440"/>
      </w:pPr>
    </w:lvl>
    <w:lvl w:ilvl="7" w:tentative="0">
      <w:start w:val="1"/>
      <w:numFmt w:val="lowerLetter"/>
      <w:lvlText w:val="%8)"/>
      <w:lvlJc w:val="left"/>
      <w:pPr>
        <w:ind w:left="4045" w:hanging="440"/>
      </w:pPr>
    </w:lvl>
    <w:lvl w:ilvl="8" w:tentative="0">
      <w:start w:val="1"/>
      <w:numFmt w:val="lowerRoman"/>
      <w:lvlText w:val="%9."/>
      <w:lvlJc w:val="right"/>
      <w:pPr>
        <w:ind w:left="4485" w:hanging="440"/>
      </w:pPr>
    </w:lvl>
  </w:abstractNum>
  <w:abstractNum w:abstractNumId="15">
    <w:nsid w:val="7DFE8B1F"/>
    <w:multiLevelType w:val="singleLevel"/>
    <w:tmpl w:val="7DFE8B1F"/>
    <w:lvl w:ilvl="0" w:tentative="0">
      <w:start w:val="1"/>
      <w:numFmt w:val="chineseCounting"/>
      <w:suff w:val="nothing"/>
      <w:lvlText w:val="（%1）"/>
      <w:lvlJc w:val="left"/>
      <w:rPr>
        <w:rFonts w:hint="eastAsia"/>
      </w:rPr>
    </w:lvl>
  </w:abstractNum>
  <w:num w:numId="1">
    <w:abstractNumId w:val="2"/>
  </w:num>
  <w:num w:numId="2">
    <w:abstractNumId w:val="14"/>
  </w:num>
  <w:num w:numId="3">
    <w:abstractNumId w:val="10"/>
  </w:num>
  <w:num w:numId="4">
    <w:abstractNumId w:val="7"/>
  </w:num>
  <w:num w:numId="5">
    <w:abstractNumId w:val="5"/>
  </w:num>
  <w:num w:numId="6">
    <w:abstractNumId w:val="1"/>
  </w:num>
  <w:num w:numId="7">
    <w:abstractNumId w:val="0"/>
  </w:num>
  <w:num w:numId="8">
    <w:abstractNumId w:val="9"/>
  </w:num>
  <w:num w:numId="9">
    <w:abstractNumId w:val="13"/>
  </w:num>
  <w:num w:numId="10">
    <w:abstractNumId w:val="15"/>
  </w:num>
  <w:num w:numId="11">
    <w:abstractNumId w:val="3"/>
  </w:num>
  <w:num w:numId="12">
    <w:abstractNumId w:val="12"/>
  </w:num>
  <w:num w:numId="13">
    <w:abstractNumId w:val="11"/>
  </w:num>
  <w:num w:numId="14">
    <w:abstractNumId w:val="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HorizontalSpacing w:val="16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DC"/>
    <w:rsid w:val="00001300"/>
    <w:rsid w:val="00002E4E"/>
    <w:rsid w:val="00003346"/>
    <w:rsid w:val="00005BE3"/>
    <w:rsid w:val="0000775C"/>
    <w:rsid w:val="000138F1"/>
    <w:rsid w:val="00015B52"/>
    <w:rsid w:val="0002522F"/>
    <w:rsid w:val="00025472"/>
    <w:rsid w:val="000258E6"/>
    <w:rsid w:val="00025C53"/>
    <w:rsid w:val="00027B41"/>
    <w:rsid w:val="000310D0"/>
    <w:rsid w:val="00031F78"/>
    <w:rsid w:val="000327B2"/>
    <w:rsid w:val="0003293D"/>
    <w:rsid w:val="000333F8"/>
    <w:rsid w:val="000371E0"/>
    <w:rsid w:val="00037213"/>
    <w:rsid w:val="0004357B"/>
    <w:rsid w:val="000531A9"/>
    <w:rsid w:val="0005574C"/>
    <w:rsid w:val="00056D89"/>
    <w:rsid w:val="000601BB"/>
    <w:rsid w:val="00061168"/>
    <w:rsid w:val="00071572"/>
    <w:rsid w:val="00072C41"/>
    <w:rsid w:val="00072CCE"/>
    <w:rsid w:val="00075591"/>
    <w:rsid w:val="00077494"/>
    <w:rsid w:val="000827F0"/>
    <w:rsid w:val="000901DA"/>
    <w:rsid w:val="000919E2"/>
    <w:rsid w:val="000927D4"/>
    <w:rsid w:val="00093852"/>
    <w:rsid w:val="00096CBF"/>
    <w:rsid w:val="00097AF3"/>
    <w:rsid w:val="00097FA3"/>
    <w:rsid w:val="000A312E"/>
    <w:rsid w:val="000B01AF"/>
    <w:rsid w:val="000B4839"/>
    <w:rsid w:val="000B49B9"/>
    <w:rsid w:val="000C1CBD"/>
    <w:rsid w:val="000C379B"/>
    <w:rsid w:val="000C5A6F"/>
    <w:rsid w:val="000C7B20"/>
    <w:rsid w:val="000D2E82"/>
    <w:rsid w:val="000D3531"/>
    <w:rsid w:val="000D6869"/>
    <w:rsid w:val="000E2DB1"/>
    <w:rsid w:val="000E62FD"/>
    <w:rsid w:val="000F4485"/>
    <w:rsid w:val="000F4E26"/>
    <w:rsid w:val="00115348"/>
    <w:rsid w:val="00115FC9"/>
    <w:rsid w:val="001261B9"/>
    <w:rsid w:val="0012670A"/>
    <w:rsid w:val="0012674B"/>
    <w:rsid w:val="00131BB1"/>
    <w:rsid w:val="0013419C"/>
    <w:rsid w:val="00135289"/>
    <w:rsid w:val="00135D4C"/>
    <w:rsid w:val="001377AE"/>
    <w:rsid w:val="00142FC0"/>
    <w:rsid w:val="00146AB0"/>
    <w:rsid w:val="001500C6"/>
    <w:rsid w:val="00154093"/>
    <w:rsid w:val="00162128"/>
    <w:rsid w:val="00162ADE"/>
    <w:rsid w:val="00171373"/>
    <w:rsid w:val="00171744"/>
    <w:rsid w:val="00172C3B"/>
    <w:rsid w:val="00177F27"/>
    <w:rsid w:val="00186A69"/>
    <w:rsid w:val="00190104"/>
    <w:rsid w:val="001901B2"/>
    <w:rsid w:val="00190619"/>
    <w:rsid w:val="00191317"/>
    <w:rsid w:val="001974CC"/>
    <w:rsid w:val="001A0EB3"/>
    <w:rsid w:val="001A4534"/>
    <w:rsid w:val="001B1FFC"/>
    <w:rsid w:val="001C23F7"/>
    <w:rsid w:val="001C390D"/>
    <w:rsid w:val="001C3ACB"/>
    <w:rsid w:val="001C7ED2"/>
    <w:rsid w:val="001D79F8"/>
    <w:rsid w:val="001E208F"/>
    <w:rsid w:val="001E6B16"/>
    <w:rsid w:val="001F1A55"/>
    <w:rsid w:val="001F5217"/>
    <w:rsid w:val="001F71DC"/>
    <w:rsid w:val="00200152"/>
    <w:rsid w:val="002009A4"/>
    <w:rsid w:val="00210D46"/>
    <w:rsid w:val="00212873"/>
    <w:rsid w:val="00217DF2"/>
    <w:rsid w:val="0022293E"/>
    <w:rsid w:val="00227DDB"/>
    <w:rsid w:val="002312C6"/>
    <w:rsid w:val="00231C05"/>
    <w:rsid w:val="00237D92"/>
    <w:rsid w:val="002410EF"/>
    <w:rsid w:val="00241B17"/>
    <w:rsid w:val="00253A79"/>
    <w:rsid w:val="00257A6B"/>
    <w:rsid w:val="00263ADD"/>
    <w:rsid w:val="0027430E"/>
    <w:rsid w:val="00276908"/>
    <w:rsid w:val="00281267"/>
    <w:rsid w:val="00281DC0"/>
    <w:rsid w:val="002855F0"/>
    <w:rsid w:val="00285654"/>
    <w:rsid w:val="00287833"/>
    <w:rsid w:val="00291C28"/>
    <w:rsid w:val="002A3570"/>
    <w:rsid w:val="002B0CB7"/>
    <w:rsid w:val="002B3BC1"/>
    <w:rsid w:val="002B48A4"/>
    <w:rsid w:val="002B4F62"/>
    <w:rsid w:val="002C36E5"/>
    <w:rsid w:val="002C6CAA"/>
    <w:rsid w:val="002D06BC"/>
    <w:rsid w:val="002D1678"/>
    <w:rsid w:val="002D66FC"/>
    <w:rsid w:val="002D6ACB"/>
    <w:rsid w:val="002E26F6"/>
    <w:rsid w:val="002E2BB8"/>
    <w:rsid w:val="002E45F0"/>
    <w:rsid w:val="002F623D"/>
    <w:rsid w:val="002F7CEF"/>
    <w:rsid w:val="00301189"/>
    <w:rsid w:val="00302D5A"/>
    <w:rsid w:val="00310B2B"/>
    <w:rsid w:val="0032072B"/>
    <w:rsid w:val="00323D7A"/>
    <w:rsid w:val="0032460C"/>
    <w:rsid w:val="00325AE1"/>
    <w:rsid w:val="00327BE4"/>
    <w:rsid w:val="00330B7A"/>
    <w:rsid w:val="003450A0"/>
    <w:rsid w:val="00351BE8"/>
    <w:rsid w:val="003522D7"/>
    <w:rsid w:val="00352496"/>
    <w:rsid w:val="00352BF3"/>
    <w:rsid w:val="00352E48"/>
    <w:rsid w:val="003576B1"/>
    <w:rsid w:val="0036062C"/>
    <w:rsid w:val="00376410"/>
    <w:rsid w:val="00377F8B"/>
    <w:rsid w:val="00381323"/>
    <w:rsid w:val="00381835"/>
    <w:rsid w:val="00384CD6"/>
    <w:rsid w:val="003910EF"/>
    <w:rsid w:val="00395071"/>
    <w:rsid w:val="003A48BB"/>
    <w:rsid w:val="003A6228"/>
    <w:rsid w:val="003B15AD"/>
    <w:rsid w:val="003B3996"/>
    <w:rsid w:val="003C71CB"/>
    <w:rsid w:val="003E1F68"/>
    <w:rsid w:val="003F5E5B"/>
    <w:rsid w:val="00400C01"/>
    <w:rsid w:val="00401292"/>
    <w:rsid w:val="0040571B"/>
    <w:rsid w:val="00406D24"/>
    <w:rsid w:val="004077E7"/>
    <w:rsid w:val="00410560"/>
    <w:rsid w:val="00425548"/>
    <w:rsid w:val="0043646D"/>
    <w:rsid w:val="0044001B"/>
    <w:rsid w:val="004424F8"/>
    <w:rsid w:val="00443824"/>
    <w:rsid w:val="0045470B"/>
    <w:rsid w:val="00457679"/>
    <w:rsid w:val="00461B84"/>
    <w:rsid w:val="00466516"/>
    <w:rsid w:val="00471A6A"/>
    <w:rsid w:val="004727DE"/>
    <w:rsid w:val="00475E2F"/>
    <w:rsid w:val="00480E45"/>
    <w:rsid w:val="004835A9"/>
    <w:rsid w:val="004859A0"/>
    <w:rsid w:val="0048698A"/>
    <w:rsid w:val="0048724A"/>
    <w:rsid w:val="0049048F"/>
    <w:rsid w:val="00495DA4"/>
    <w:rsid w:val="00495F55"/>
    <w:rsid w:val="004A115D"/>
    <w:rsid w:val="004A52E2"/>
    <w:rsid w:val="004A7267"/>
    <w:rsid w:val="004B1417"/>
    <w:rsid w:val="004B152A"/>
    <w:rsid w:val="004B7F44"/>
    <w:rsid w:val="004C0C76"/>
    <w:rsid w:val="004C4947"/>
    <w:rsid w:val="004D4D37"/>
    <w:rsid w:val="004D5AF2"/>
    <w:rsid w:val="004D7057"/>
    <w:rsid w:val="004E2A7D"/>
    <w:rsid w:val="004E3B16"/>
    <w:rsid w:val="004E6178"/>
    <w:rsid w:val="004F3C97"/>
    <w:rsid w:val="004F64B2"/>
    <w:rsid w:val="0050334B"/>
    <w:rsid w:val="005043CB"/>
    <w:rsid w:val="00510C1E"/>
    <w:rsid w:val="00533935"/>
    <w:rsid w:val="00534111"/>
    <w:rsid w:val="00544568"/>
    <w:rsid w:val="00547352"/>
    <w:rsid w:val="00550F30"/>
    <w:rsid w:val="0055125E"/>
    <w:rsid w:val="00551C50"/>
    <w:rsid w:val="00557704"/>
    <w:rsid w:val="00570F39"/>
    <w:rsid w:val="00572430"/>
    <w:rsid w:val="00573D0A"/>
    <w:rsid w:val="005754E3"/>
    <w:rsid w:val="005755D3"/>
    <w:rsid w:val="00576778"/>
    <w:rsid w:val="00583827"/>
    <w:rsid w:val="00583BD1"/>
    <w:rsid w:val="0058445F"/>
    <w:rsid w:val="005935AD"/>
    <w:rsid w:val="00593E0F"/>
    <w:rsid w:val="005A1B82"/>
    <w:rsid w:val="005A5913"/>
    <w:rsid w:val="005A66BA"/>
    <w:rsid w:val="005A729F"/>
    <w:rsid w:val="005A77ED"/>
    <w:rsid w:val="005B1026"/>
    <w:rsid w:val="005C1BE4"/>
    <w:rsid w:val="005C3221"/>
    <w:rsid w:val="005C533F"/>
    <w:rsid w:val="005C56C6"/>
    <w:rsid w:val="005C616C"/>
    <w:rsid w:val="005D5FFC"/>
    <w:rsid w:val="005E274B"/>
    <w:rsid w:val="005E6C7F"/>
    <w:rsid w:val="005E7B9C"/>
    <w:rsid w:val="005F595C"/>
    <w:rsid w:val="005F6F0E"/>
    <w:rsid w:val="00601667"/>
    <w:rsid w:val="0061061C"/>
    <w:rsid w:val="00610B2D"/>
    <w:rsid w:val="00611745"/>
    <w:rsid w:val="006132F8"/>
    <w:rsid w:val="00621AAA"/>
    <w:rsid w:val="00621B93"/>
    <w:rsid w:val="0062222A"/>
    <w:rsid w:val="00636E31"/>
    <w:rsid w:val="00643EFD"/>
    <w:rsid w:val="00651FD8"/>
    <w:rsid w:val="00655483"/>
    <w:rsid w:val="00662915"/>
    <w:rsid w:val="00667C32"/>
    <w:rsid w:val="00670CD8"/>
    <w:rsid w:val="00672E50"/>
    <w:rsid w:val="00674C50"/>
    <w:rsid w:val="00680E1B"/>
    <w:rsid w:val="00681531"/>
    <w:rsid w:val="00687D77"/>
    <w:rsid w:val="00690526"/>
    <w:rsid w:val="00695E4D"/>
    <w:rsid w:val="00697368"/>
    <w:rsid w:val="006A0B13"/>
    <w:rsid w:val="006A46A4"/>
    <w:rsid w:val="006B4255"/>
    <w:rsid w:val="006C28D1"/>
    <w:rsid w:val="006C3DC6"/>
    <w:rsid w:val="006C4344"/>
    <w:rsid w:val="006F133C"/>
    <w:rsid w:val="006F1BA4"/>
    <w:rsid w:val="006F1C7E"/>
    <w:rsid w:val="007008A2"/>
    <w:rsid w:val="0070105F"/>
    <w:rsid w:val="00712015"/>
    <w:rsid w:val="007147FD"/>
    <w:rsid w:val="00717ADA"/>
    <w:rsid w:val="0072054B"/>
    <w:rsid w:val="00721DFB"/>
    <w:rsid w:val="007225FE"/>
    <w:rsid w:val="00726B48"/>
    <w:rsid w:val="00740CD0"/>
    <w:rsid w:val="007439E3"/>
    <w:rsid w:val="00745877"/>
    <w:rsid w:val="007515C2"/>
    <w:rsid w:val="00753856"/>
    <w:rsid w:val="00756B7C"/>
    <w:rsid w:val="0075727B"/>
    <w:rsid w:val="00764513"/>
    <w:rsid w:val="00767245"/>
    <w:rsid w:val="00776EB7"/>
    <w:rsid w:val="00784A37"/>
    <w:rsid w:val="0078693F"/>
    <w:rsid w:val="00793715"/>
    <w:rsid w:val="007965AC"/>
    <w:rsid w:val="007971BF"/>
    <w:rsid w:val="007A0CA9"/>
    <w:rsid w:val="007A15F0"/>
    <w:rsid w:val="007A22BD"/>
    <w:rsid w:val="007A3C71"/>
    <w:rsid w:val="007B3B5B"/>
    <w:rsid w:val="007B6E5A"/>
    <w:rsid w:val="007B7F2D"/>
    <w:rsid w:val="007C10F5"/>
    <w:rsid w:val="007C1F8C"/>
    <w:rsid w:val="007C623A"/>
    <w:rsid w:val="007C6C9C"/>
    <w:rsid w:val="007D035F"/>
    <w:rsid w:val="007D05CE"/>
    <w:rsid w:val="007D166A"/>
    <w:rsid w:val="007D1CAA"/>
    <w:rsid w:val="007E7E72"/>
    <w:rsid w:val="007F1F24"/>
    <w:rsid w:val="007F3E28"/>
    <w:rsid w:val="007F46DC"/>
    <w:rsid w:val="00805772"/>
    <w:rsid w:val="008105CC"/>
    <w:rsid w:val="008117CB"/>
    <w:rsid w:val="008133BD"/>
    <w:rsid w:val="0081366F"/>
    <w:rsid w:val="00817048"/>
    <w:rsid w:val="00817DE3"/>
    <w:rsid w:val="00822C61"/>
    <w:rsid w:val="00823032"/>
    <w:rsid w:val="008406E0"/>
    <w:rsid w:val="0084644C"/>
    <w:rsid w:val="00852548"/>
    <w:rsid w:val="00853DAF"/>
    <w:rsid w:val="00856773"/>
    <w:rsid w:val="008618C7"/>
    <w:rsid w:val="0086224B"/>
    <w:rsid w:val="00866F7D"/>
    <w:rsid w:val="00867ACD"/>
    <w:rsid w:val="008725EB"/>
    <w:rsid w:val="00881D18"/>
    <w:rsid w:val="008856AE"/>
    <w:rsid w:val="00887BDE"/>
    <w:rsid w:val="0089022C"/>
    <w:rsid w:val="00893D38"/>
    <w:rsid w:val="00895641"/>
    <w:rsid w:val="0089784A"/>
    <w:rsid w:val="008A345E"/>
    <w:rsid w:val="008A4F0B"/>
    <w:rsid w:val="008B1831"/>
    <w:rsid w:val="008B324A"/>
    <w:rsid w:val="008C2B21"/>
    <w:rsid w:val="008C322A"/>
    <w:rsid w:val="008C3318"/>
    <w:rsid w:val="008C5A19"/>
    <w:rsid w:val="008D10DC"/>
    <w:rsid w:val="008D4288"/>
    <w:rsid w:val="008D69A7"/>
    <w:rsid w:val="008E2AC3"/>
    <w:rsid w:val="008E400D"/>
    <w:rsid w:val="008E7210"/>
    <w:rsid w:val="008F002D"/>
    <w:rsid w:val="00900A95"/>
    <w:rsid w:val="009032F1"/>
    <w:rsid w:val="009037F9"/>
    <w:rsid w:val="00904719"/>
    <w:rsid w:val="00904CE7"/>
    <w:rsid w:val="009056A3"/>
    <w:rsid w:val="0090575A"/>
    <w:rsid w:val="00910C84"/>
    <w:rsid w:val="00916C59"/>
    <w:rsid w:val="00922E49"/>
    <w:rsid w:val="00936C3B"/>
    <w:rsid w:val="00937091"/>
    <w:rsid w:val="009405D8"/>
    <w:rsid w:val="00945CCB"/>
    <w:rsid w:val="00946083"/>
    <w:rsid w:val="0094747F"/>
    <w:rsid w:val="00953916"/>
    <w:rsid w:val="009559F2"/>
    <w:rsid w:val="00975412"/>
    <w:rsid w:val="00975572"/>
    <w:rsid w:val="009758A0"/>
    <w:rsid w:val="00975F2D"/>
    <w:rsid w:val="009801B5"/>
    <w:rsid w:val="00980F1D"/>
    <w:rsid w:val="00980FFB"/>
    <w:rsid w:val="00986A2A"/>
    <w:rsid w:val="009A22DC"/>
    <w:rsid w:val="009B4C0B"/>
    <w:rsid w:val="009C0455"/>
    <w:rsid w:val="009C51D5"/>
    <w:rsid w:val="009C6E56"/>
    <w:rsid w:val="009D155A"/>
    <w:rsid w:val="009D6797"/>
    <w:rsid w:val="009E3A09"/>
    <w:rsid w:val="009E4B57"/>
    <w:rsid w:val="009E63C4"/>
    <w:rsid w:val="009E6A40"/>
    <w:rsid w:val="009E7224"/>
    <w:rsid w:val="009F7BDB"/>
    <w:rsid w:val="00A21891"/>
    <w:rsid w:val="00A250B1"/>
    <w:rsid w:val="00A25BC5"/>
    <w:rsid w:val="00A26226"/>
    <w:rsid w:val="00A31141"/>
    <w:rsid w:val="00A403E0"/>
    <w:rsid w:val="00A40FD3"/>
    <w:rsid w:val="00A41CD6"/>
    <w:rsid w:val="00A455C4"/>
    <w:rsid w:val="00A52471"/>
    <w:rsid w:val="00A551C9"/>
    <w:rsid w:val="00A56124"/>
    <w:rsid w:val="00A62F7F"/>
    <w:rsid w:val="00A633FB"/>
    <w:rsid w:val="00A63505"/>
    <w:rsid w:val="00A66667"/>
    <w:rsid w:val="00A736FB"/>
    <w:rsid w:val="00A761BB"/>
    <w:rsid w:val="00A823E6"/>
    <w:rsid w:val="00A94664"/>
    <w:rsid w:val="00A951F4"/>
    <w:rsid w:val="00A96DC0"/>
    <w:rsid w:val="00A97F59"/>
    <w:rsid w:val="00AA7554"/>
    <w:rsid w:val="00AB1CA7"/>
    <w:rsid w:val="00AB244B"/>
    <w:rsid w:val="00AC078D"/>
    <w:rsid w:val="00AD04EC"/>
    <w:rsid w:val="00AD1921"/>
    <w:rsid w:val="00AD1DBB"/>
    <w:rsid w:val="00AD2D5C"/>
    <w:rsid w:val="00AD4B3A"/>
    <w:rsid w:val="00AD6FE9"/>
    <w:rsid w:val="00AE7541"/>
    <w:rsid w:val="00AE75A4"/>
    <w:rsid w:val="00AF003E"/>
    <w:rsid w:val="00AF06CB"/>
    <w:rsid w:val="00AF0BF7"/>
    <w:rsid w:val="00AF6143"/>
    <w:rsid w:val="00B00160"/>
    <w:rsid w:val="00B01F0B"/>
    <w:rsid w:val="00B06521"/>
    <w:rsid w:val="00B207D7"/>
    <w:rsid w:val="00B20B3C"/>
    <w:rsid w:val="00B22412"/>
    <w:rsid w:val="00B23450"/>
    <w:rsid w:val="00B34120"/>
    <w:rsid w:val="00B42114"/>
    <w:rsid w:val="00B45776"/>
    <w:rsid w:val="00B51F3C"/>
    <w:rsid w:val="00B5282B"/>
    <w:rsid w:val="00B55507"/>
    <w:rsid w:val="00B561B8"/>
    <w:rsid w:val="00B60C08"/>
    <w:rsid w:val="00B62DAC"/>
    <w:rsid w:val="00B63A53"/>
    <w:rsid w:val="00B6740F"/>
    <w:rsid w:val="00B6744B"/>
    <w:rsid w:val="00B738B5"/>
    <w:rsid w:val="00B738CA"/>
    <w:rsid w:val="00B77D5A"/>
    <w:rsid w:val="00B832B9"/>
    <w:rsid w:val="00B8700B"/>
    <w:rsid w:val="00B9339D"/>
    <w:rsid w:val="00BA5324"/>
    <w:rsid w:val="00BB0F65"/>
    <w:rsid w:val="00BB2CA4"/>
    <w:rsid w:val="00BB520E"/>
    <w:rsid w:val="00BB6B5A"/>
    <w:rsid w:val="00BB7A89"/>
    <w:rsid w:val="00BC7178"/>
    <w:rsid w:val="00BC7FC8"/>
    <w:rsid w:val="00BD2CDC"/>
    <w:rsid w:val="00BD3C81"/>
    <w:rsid w:val="00BD6BF8"/>
    <w:rsid w:val="00BE0863"/>
    <w:rsid w:val="00BE1F7D"/>
    <w:rsid w:val="00BE462D"/>
    <w:rsid w:val="00BE78C4"/>
    <w:rsid w:val="00BF1A8F"/>
    <w:rsid w:val="00BF1C38"/>
    <w:rsid w:val="00BF3A2B"/>
    <w:rsid w:val="00BF4FF8"/>
    <w:rsid w:val="00BF7154"/>
    <w:rsid w:val="00BF78B6"/>
    <w:rsid w:val="00C0177A"/>
    <w:rsid w:val="00C02437"/>
    <w:rsid w:val="00C02759"/>
    <w:rsid w:val="00C027DD"/>
    <w:rsid w:val="00C03127"/>
    <w:rsid w:val="00C041CE"/>
    <w:rsid w:val="00C0696E"/>
    <w:rsid w:val="00C12716"/>
    <w:rsid w:val="00C1408A"/>
    <w:rsid w:val="00C14C20"/>
    <w:rsid w:val="00C15DBB"/>
    <w:rsid w:val="00C238B7"/>
    <w:rsid w:val="00C23C88"/>
    <w:rsid w:val="00C24FF6"/>
    <w:rsid w:val="00C27B33"/>
    <w:rsid w:val="00C43B7E"/>
    <w:rsid w:val="00C45857"/>
    <w:rsid w:val="00C51419"/>
    <w:rsid w:val="00C55BB9"/>
    <w:rsid w:val="00C570F7"/>
    <w:rsid w:val="00C57381"/>
    <w:rsid w:val="00C5779E"/>
    <w:rsid w:val="00C62FA5"/>
    <w:rsid w:val="00C7049D"/>
    <w:rsid w:val="00C71CD1"/>
    <w:rsid w:val="00C71E65"/>
    <w:rsid w:val="00C875D9"/>
    <w:rsid w:val="00CA77C2"/>
    <w:rsid w:val="00CB13E9"/>
    <w:rsid w:val="00CB367A"/>
    <w:rsid w:val="00CB6AB6"/>
    <w:rsid w:val="00CC3861"/>
    <w:rsid w:val="00CC58BE"/>
    <w:rsid w:val="00CC5A75"/>
    <w:rsid w:val="00CC6AFF"/>
    <w:rsid w:val="00CD1B08"/>
    <w:rsid w:val="00CE62EF"/>
    <w:rsid w:val="00CE661B"/>
    <w:rsid w:val="00CE6F06"/>
    <w:rsid w:val="00CF15B1"/>
    <w:rsid w:val="00D003C4"/>
    <w:rsid w:val="00D0199E"/>
    <w:rsid w:val="00D06211"/>
    <w:rsid w:val="00D11D7A"/>
    <w:rsid w:val="00D13F14"/>
    <w:rsid w:val="00D14FFB"/>
    <w:rsid w:val="00D153E9"/>
    <w:rsid w:val="00D15F77"/>
    <w:rsid w:val="00D335E0"/>
    <w:rsid w:val="00D359D5"/>
    <w:rsid w:val="00D36FF4"/>
    <w:rsid w:val="00D403D0"/>
    <w:rsid w:val="00D4706B"/>
    <w:rsid w:val="00D512BE"/>
    <w:rsid w:val="00D52E3D"/>
    <w:rsid w:val="00D542FF"/>
    <w:rsid w:val="00D5787B"/>
    <w:rsid w:val="00D60E2F"/>
    <w:rsid w:val="00D6104E"/>
    <w:rsid w:val="00D800D6"/>
    <w:rsid w:val="00D8125E"/>
    <w:rsid w:val="00D83213"/>
    <w:rsid w:val="00D85DDF"/>
    <w:rsid w:val="00D9127A"/>
    <w:rsid w:val="00D92C18"/>
    <w:rsid w:val="00DA050E"/>
    <w:rsid w:val="00DA490A"/>
    <w:rsid w:val="00DA53C3"/>
    <w:rsid w:val="00DB5AB2"/>
    <w:rsid w:val="00DC0D5E"/>
    <w:rsid w:val="00DC1C7D"/>
    <w:rsid w:val="00DC74EC"/>
    <w:rsid w:val="00DD293E"/>
    <w:rsid w:val="00DD40BC"/>
    <w:rsid w:val="00DD4E35"/>
    <w:rsid w:val="00DD60FA"/>
    <w:rsid w:val="00DE3F9D"/>
    <w:rsid w:val="00DF00F5"/>
    <w:rsid w:val="00DF0E07"/>
    <w:rsid w:val="00DF7EFF"/>
    <w:rsid w:val="00E0025A"/>
    <w:rsid w:val="00E01423"/>
    <w:rsid w:val="00E027F2"/>
    <w:rsid w:val="00E04E48"/>
    <w:rsid w:val="00E12459"/>
    <w:rsid w:val="00E12769"/>
    <w:rsid w:val="00E216F2"/>
    <w:rsid w:val="00E23F60"/>
    <w:rsid w:val="00E255B3"/>
    <w:rsid w:val="00E34228"/>
    <w:rsid w:val="00E40898"/>
    <w:rsid w:val="00E43B5F"/>
    <w:rsid w:val="00E4758E"/>
    <w:rsid w:val="00E475EC"/>
    <w:rsid w:val="00E50346"/>
    <w:rsid w:val="00E509FE"/>
    <w:rsid w:val="00E5146F"/>
    <w:rsid w:val="00E529D0"/>
    <w:rsid w:val="00E5702A"/>
    <w:rsid w:val="00E57204"/>
    <w:rsid w:val="00E57F90"/>
    <w:rsid w:val="00E600AB"/>
    <w:rsid w:val="00E64523"/>
    <w:rsid w:val="00E74561"/>
    <w:rsid w:val="00E75642"/>
    <w:rsid w:val="00E83C0A"/>
    <w:rsid w:val="00E85748"/>
    <w:rsid w:val="00E8600A"/>
    <w:rsid w:val="00E86B62"/>
    <w:rsid w:val="00E91A7D"/>
    <w:rsid w:val="00E94CCA"/>
    <w:rsid w:val="00EA0431"/>
    <w:rsid w:val="00EA18D2"/>
    <w:rsid w:val="00EA4A2B"/>
    <w:rsid w:val="00EB1479"/>
    <w:rsid w:val="00EC07C2"/>
    <w:rsid w:val="00EC276A"/>
    <w:rsid w:val="00EC3C4C"/>
    <w:rsid w:val="00EC75E8"/>
    <w:rsid w:val="00ED0183"/>
    <w:rsid w:val="00EE02DE"/>
    <w:rsid w:val="00EE4104"/>
    <w:rsid w:val="00EE6580"/>
    <w:rsid w:val="00EE6591"/>
    <w:rsid w:val="00EF1AE2"/>
    <w:rsid w:val="00EF7358"/>
    <w:rsid w:val="00F00587"/>
    <w:rsid w:val="00F03BB2"/>
    <w:rsid w:val="00F171B3"/>
    <w:rsid w:val="00F20A15"/>
    <w:rsid w:val="00F23AFE"/>
    <w:rsid w:val="00F27A5A"/>
    <w:rsid w:val="00F317BF"/>
    <w:rsid w:val="00F40F48"/>
    <w:rsid w:val="00F4212B"/>
    <w:rsid w:val="00F46F25"/>
    <w:rsid w:val="00F5781D"/>
    <w:rsid w:val="00F610F7"/>
    <w:rsid w:val="00F614A0"/>
    <w:rsid w:val="00F6214E"/>
    <w:rsid w:val="00F62FAE"/>
    <w:rsid w:val="00F757C0"/>
    <w:rsid w:val="00F86F5E"/>
    <w:rsid w:val="00F874AA"/>
    <w:rsid w:val="00F919D7"/>
    <w:rsid w:val="00F959DB"/>
    <w:rsid w:val="00F97CD6"/>
    <w:rsid w:val="00FA34D6"/>
    <w:rsid w:val="00FA3E59"/>
    <w:rsid w:val="00FA4AD3"/>
    <w:rsid w:val="00FB3D7D"/>
    <w:rsid w:val="00FC4765"/>
    <w:rsid w:val="00FE1A9A"/>
    <w:rsid w:val="00FE2CE6"/>
    <w:rsid w:val="00FE56F6"/>
    <w:rsid w:val="00FF1662"/>
    <w:rsid w:val="00FF4912"/>
    <w:rsid w:val="00FF773B"/>
    <w:rsid w:val="01473E54"/>
    <w:rsid w:val="0389415C"/>
    <w:rsid w:val="05CF6594"/>
    <w:rsid w:val="0CEB003E"/>
    <w:rsid w:val="0F7929CB"/>
    <w:rsid w:val="118F4448"/>
    <w:rsid w:val="14363136"/>
    <w:rsid w:val="15B10424"/>
    <w:rsid w:val="15E55AC1"/>
    <w:rsid w:val="1D2A59CF"/>
    <w:rsid w:val="20005185"/>
    <w:rsid w:val="2175305B"/>
    <w:rsid w:val="27BE650B"/>
    <w:rsid w:val="295502B2"/>
    <w:rsid w:val="29FA7E2A"/>
    <w:rsid w:val="2C6B1F6C"/>
    <w:rsid w:val="2CFA2ADE"/>
    <w:rsid w:val="2FDE19FB"/>
    <w:rsid w:val="315919F0"/>
    <w:rsid w:val="31B26C57"/>
    <w:rsid w:val="347B2C27"/>
    <w:rsid w:val="34ED7FCC"/>
    <w:rsid w:val="3630077F"/>
    <w:rsid w:val="36831084"/>
    <w:rsid w:val="37F7E100"/>
    <w:rsid w:val="39AD6710"/>
    <w:rsid w:val="3D1A7C9A"/>
    <w:rsid w:val="3EBD7112"/>
    <w:rsid w:val="403F4173"/>
    <w:rsid w:val="42966252"/>
    <w:rsid w:val="44710F72"/>
    <w:rsid w:val="44DE0A40"/>
    <w:rsid w:val="45A268CD"/>
    <w:rsid w:val="47DF3AE6"/>
    <w:rsid w:val="4D2030ED"/>
    <w:rsid w:val="51BC272F"/>
    <w:rsid w:val="52671F92"/>
    <w:rsid w:val="52B10AF0"/>
    <w:rsid w:val="544E493D"/>
    <w:rsid w:val="59FEE1C2"/>
    <w:rsid w:val="5C4B5596"/>
    <w:rsid w:val="5CF1FFC9"/>
    <w:rsid w:val="5DFB199E"/>
    <w:rsid w:val="61633B9E"/>
    <w:rsid w:val="63607BB7"/>
    <w:rsid w:val="65C85880"/>
    <w:rsid w:val="6CB42CFF"/>
    <w:rsid w:val="6CD67CBF"/>
    <w:rsid w:val="6E06488E"/>
    <w:rsid w:val="6E5E9344"/>
    <w:rsid w:val="726A7762"/>
    <w:rsid w:val="72ADF2C5"/>
    <w:rsid w:val="77322735"/>
    <w:rsid w:val="7B19085C"/>
    <w:rsid w:val="7FFEFAC6"/>
    <w:rsid w:val="80DA1549"/>
    <w:rsid w:val="A78332E9"/>
    <w:rsid w:val="B5FE9F73"/>
    <w:rsid w:val="CFE9E8C9"/>
    <w:rsid w:val="EFA90C86"/>
    <w:rsid w:val="EFB4D468"/>
    <w:rsid w:val="F32B389C"/>
    <w:rsid w:val="FF7E3581"/>
    <w:rsid w:val="FF7E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NEU-BZ-S92" w:hAnsi="NEU-BZ-S92" w:eastAsia="仿宋_GB2312" w:cs="Times New Roman"/>
      <w:spacing w:val="8"/>
      <w:kern w:val="2"/>
      <w:sz w:val="32"/>
      <w:szCs w:val="24"/>
      <w:lang w:val="en-US" w:eastAsia="zh-CN" w:bidi="ar-SA"/>
    </w:rPr>
  </w:style>
  <w:style w:type="paragraph" w:styleId="2">
    <w:name w:val="heading 2"/>
    <w:next w:val="1"/>
    <w:qFormat/>
    <w:uiPriority w:val="0"/>
    <w:pPr>
      <w:keepNext/>
      <w:keepLines/>
      <w:autoSpaceDE w:val="0"/>
      <w:autoSpaceDN w:val="0"/>
      <w:jc w:val="distribute"/>
      <w:outlineLvl w:val="1"/>
    </w:pPr>
    <w:rPr>
      <w:rFonts w:ascii="Times New Roman" w:hAnsi="Times New Roman" w:eastAsia="华康简标题宋" w:cs="Times New Roman"/>
      <w:bCs/>
      <w:color w:val="FF0000"/>
      <w:w w:val="70"/>
      <w:sz w:val="112"/>
      <w:szCs w:val="32"/>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link w:val="28"/>
    <w:qFormat/>
    <w:uiPriority w:val="99"/>
    <w:pPr>
      <w:jc w:val="left"/>
    </w:pPr>
  </w:style>
  <w:style w:type="paragraph" w:styleId="4">
    <w:name w:val="Body Text"/>
    <w:basedOn w:val="1"/>
    <w:next w:val="1"/>
    <w:qFormat/>
    <w:uiPriority w:val="0"/>
    <w:pPr>
      <w:ind w:right="-35" w:rightChars="-12"/>
    </w:pPr>
    <w:rPr>
      <w:sz w:val="31"/>
    </w:rPr>
  </w:style>
  <w:style w:type="paragraph" w:styleId="5">
    <w:name w:val="Block Text"/>
    <w:basedOn w:val="1"/>
    <w:qFormat/>
    <w:uiPriority w:val="0"/>
    <w:pPr>
      <w:pBdr>
        <w:top w:val="single" w:color="auto" w:sz="6" w:space="1"/>
        <w:bottom w:val="single" w:color="auto" w:sz="6" w:space="1"/>
      </w:pBdr>
      <w:topLinePunct/>
      <w:autoSpaceDE w:val="0"/>
      <w:autoSpaceDN w:val="0"/>
      <w:spacing w:line="540" w:lineRule="atLeast"/>
      <w:ind w:left="948" w:leftChars="100" w:right="17" w:hanging="632" w:hangingChars="200"/>
    </w:pPr>
  </w:style>
  <w:style w:type="paragraph" w:styleId="6">
    <w:name w:val="Date"/>
    <w:basedOn w:val="1"/>
    <w:next w:val="1"/>
    <w:qFormat/>
    <w:uiPriority w:val="0"/>
    <w:pPr>
      <w:ind w:left="100" w:leftChars="2500"/>
    </w:pPr>
  </w:style>
  <w:style w:type="paragraph" w:styleId="7">
    <w:name w:val="Body Text Indent 2"/>
    <w:basedOn w:val="1"/>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leader="hyphen" w:pos="4153"/>
        <w:tab w:val="right" w:pos="8306"/>
      </w:tabs>
      <w:snapToGrid w:val="0"/>
      <w:jc w:val="right"/>
    </w:pPr>
    <w:rPr>
      <w:sz w:val="28"/>
      <w:szCs w:val="18"/>
    </w:rPr>
  </w:style>
  <w:style w:type="paragraph" w:styleId="10">
    <w:name w:val="header"/>
    <w:basedOn w:val="1"/>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sz w:val="24"/>
    </w:rPr>
  </w:style>
  <w:style w:type="paragraph" w:styleId="12">
    <w:name w:val="Title"/>
    <w:basedOn w:val="1"/>
    <w:qFormat/>
    <w:uiPriority w:val="0"/>
    <w:pPr>
      <w:spacing w:before="240" w:after="60"/>
      <w:jc w:val="center"/>
      <w:outlineLvl w:val="0"/>
    </w:pPr>
    <w:rPr>
      <w:rFonts w:eastAsia="华康简标题宋" w:cs="Arial"/>
      <w:bCs/>
      <w:sz w:val="44"/>
      <w:szCs w:val="32"/>
    </w:rPr>
  </w:style>
  <w:style w:type="paragraph" w:styleId="13">
    <w:name w:val="annotation subject"/>
    <w:basedOn w:val="3"/>
    <w:next w:val="3"/>
    <w:link w:val="29"/>
    <w:unhideWhenUsed/>
    <w:qFormat/>
    <w:uiPriority w:val="99"/>
    <w:pPr>
      <w:spacing w:after="160" w:line="278" w:lineRule="auto"/>
    </w:pPr>
    <w:rPr>
      <w:rFonts w:asciiTheme="minorHAnsi" w:hAnsiTheme="minorHAnsi" w:eastAsiaTheme="minorEastAsia" w:cstheme="minorBidi"/>
      <w:b/>
      <w:bCs/>
      <w:spacing w:val="0"/>
      <w:kern w:val="0"/>
      <w:sz w:val="22"/>
      <w:szCs w:val="22"/>
      <w:lang w:eastAsia="en-U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ascii="Times New Roman" w:hAnsi="Times New Roman" w:eastAsia="仿宋_GB2312"/>
      <w:sz w:val="28"/>
      <w:lang w:eastAsia="zh-CN"/>
    </w:rPr>
  </w:style>
  <w:style w:type="character" w:customStyle="1" w:styleId="18">
    <w:name w:val="15"/>
    <w:basedOn w:val="16"/>
    <w:qFormat/>
    <w:uiPriority w:val="0"/>
    <w:rPr>
      <w:rFonts w:hint="default" w:ascii="Times New Roman" w:hAnsi="Times New Roman" w:eastAsia="方正小标宋简体" w:cs="Times New Roman"/>
      <w:kern w:val="44"/>
      <w:sz w:val="44"/>
      <w:szCs w:val="44"/>
    </w:rPr>
  </w:style>
  <w:style w:type="character" w:customStyle="1" w:styleId="19">
    <w:name w:val="NormalCharacter"/>
    <w:qFormat/>
    <w:uiPriority w:val="0"/>
  </w:style>
  <w:style w:type="paragraph" w:customStyle="1" w:styleId="20">
    <w:name w:val="Char Char Char"/>
    <w:basedOn w:val="1"/>
    <w:qFormat/>
    <w:uiPriority w:val="0"/>
    <w:rPr>
      <w:rFonts w:ascii="Tahoma" w:hAnsi="Tahoma" w:eastAsia="宋体"/>
      <w:sz w:val="24"/>
      <w:szCs w:val="20"/>
    </w:rPr>
  </w:style>
  <w:style w:type="paragraph" w:customStyle="1" w:styleId="21">
    <w:name w:val="HtmlNormal"/>
    <w:basedOn w:val="1"/>
    <w:qFormat/>
    <w:uiPriority w:val="0"/>
    <w:pPr>
      <w:spacing w:before="100" w:beforeAutospacing="1" w:after="100" w:afterAutospacing="1"/>
      <w:jc w:val="left"/>
    </w:pPr>
    <w:rPr>
      <w:rFonts w:ascii="宋体" w:hAnsi="宋体"/>
      <w:kern w:val="0"/>
      <w:sz w:val="24"/>
    </w:rPr>
  </w:style>
  <w:style w:type="paragraph" w:customStyle="1" w:styleId="22">
    <w:name w:val="p0"/>
    <w:basedOn w:val="1"/>
    <w:qFormat/>
    <w:uiPriority w:val="0"/>
    <w:pPr>
      <w:widowControl/>
      <w:jc w:val="left"/>
    </w:pPr>
    <w:rPr>
      <w:rFonts w:eastAsia="宋体"/>
      <w:kern w:val="0"/>
      <w:sz w:val="20"/>
      <w:szCs w:val="20"/>
    </w:rPr>
  </w:style>
  <w:style w:type="paragraph" w:customStyle="1" w:styleId="23">
    <w:name w:val="正文 New"/>
    <w:qFormat/>
    <w:uiPriority w:val="0"/>
    <w:pPr>
      <w:widowControl w:val="0"/>
      <w:jc w:val="both"/>
    </w:pPr>
    <w:rPr>
      <w:rFonts w:ascii="Times New Roman" w:hAnsi="Times New Roman" w:eastAsia="仿宋_GB2312" w:cs="Times New Roman"/>
      <w:kern w:val="2"/>
      <w:sz w:val="30"/>
      <w:szCs w:val="34"/>
      <w:lang w:val="en-US" w:eastAsia="zh-CN" w:bidi="ar-SA"/>
    </w:rPr>
  </w:style>
  <w:style w:type="paragraph" w:customStyle="1" w:styleId="24">
    <w:name w:val="_Style 8"/>
    <w:basedOn w:val="1"/>
    <w:next w:val="4"/>
    <w:qFormat/>
    <w:uiPriority w:val="0"/>
    <w:pPr>
      <w:ind w:right="-35" w:rightChars="-12"/>
    </w:pPr>
    <w:rPr>
      <w:sz w:val="31"/>
    </w:rPr>
  </w:style>
  <w:style w:type="paragraph" w:customStyle="1" w:styleId="25">
    <w:name w:val="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6">
    <w:name w:val=" Char Char Char Char Char Char1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customStyle="1" w:styleId="27">
    <w:name w:val="Revision"/>
    <w:hidden/>
    <w:unhideWhenUsed/>
    <w:qFormat/>
    <w:uiPriority w:val="99"/>
    <w:rPr>
      <w:rFonts w:ascii="NEU-BZ-S92" w:hAnsi="NEU-BZ-S92" w:eastAsia="仿宋_GB2312" w:cs="Times New Roman"/>
      <w:spacing w:val="8"/>
      <w:kern w:val="2"/>
      <w:sz w:val="32"/>
      <w:szCs w:val="24"/>
      <w:lang w:val="en-US" w:eastAsia="zh-CN" w:bidi="ar-SA"/>
    </w:rPr>
  </w:style>
  <w:style w:type="character" w:customStyle="1" w:styleId="28">
    <w:name w:val="批注文字 字符"/>
    <w:basedOn w:val="16"/>
    <w:link w:val="3"/>
    <w:qFormat/>
    <w:uiPriority w:val="99"/>
    <w:rPr>
      <w:rFonts w:ascii="NEU-BZ-S92" w:hAnsi="NEU-BZ-S92" w:eastAsia="仿宋_GB2312"/>
      <w:spacing w:val="8"/>
      <w:kern w:val="2"/>
      <w:sz w:val="32"/>
      <w:szCs w:val="24"/>
    </w:rPr>
  </w:style>
  <w:style w:type="character" w:customStyle="1" w:styleId="29">
    <w:name w:val="批注主题 字符"/>
    <w:basedOn w:val="28"/>
    <w:link w:val="13"/>
    <w:qFormat/>
    <w:uiPriority w:val="99"/>
    <w:rPr>
      <w:rFonts w:asciiTheme="minorHAnsi" w:hAnsiTheme="minorHAnsi" w:eastAsiaTheme="minorEastAsia" w:cstheme="minorBidi"/>
      <w:b/>
      <w:bCs/>
      <w:spacing w:val="8"/>
      <w:kern w:val="2"/>
      <w:sz w:val="22"/>
      <w:szCs w:val="22"/>
      <w:lang w:eastAsia="en-US"/>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dgcc</Company>
  <Pages>20</Pages>
  <Words>8513</Words>
  <Characters>2797</Characters>
  <Lines>23</Lines>
  <Paragraphs>22</Paragraphs>
  <TotalTime>10</TotalTime>
  <ScaleCrop>false</ScaleCrop>
  <LinksUpToDate>false</LinksUpToDate>
  <CharactersWithSpaces>11288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2025-06-26T17:33:00Z</dcterms:created>
  <dc:creator>黄荣峰</dc:creator>
  <cp:lastModifiedBy>uos</cp:lastModifiedBy>
  <cp:lastPrinted>2025-08-05T18:57:00Z</cp:lastPrinted>
  <dcterms:modified xsi:type="dcterms:W3CDTF">2025-08-06T11:28:21Z</dcterms:modified>
  <dc:title>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